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附件2：</w:t>
      </w:r>
    </w:p>
    <w:p>
      <w:pPr>
        <w:spacing w:line="220" w:lineRule="atLeas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扬尘防控建筑工地巡查记录表</w:t>
      </w:r>
    </w:p>
    <w:p>
      <w:pPr>
        <w:spacing w:line="220" w:lineRule="atLeas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建筑工地：</w:t>
      </w:r>
    </w:p>
    <w:tbl>
      <w:tblPr>
        <w:tblStyle w:val="8"/>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745"/>
        <w:gridCol w:w="722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项目</w:t>
            </w: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序号</w:t>
            </w:r>
          </w:p>
        </w:tc>
        <w:tc>
          <w:tcPr>
            <w:tcW w:w="7229"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测评标准</w:t>
            </w:r>
          </w:p>
        </w:tc>
        <w:tc>
          <w:tcPr>
            <w:tcW w:w="1843"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 w:type="dxa"/>
            <w:vMerge w:val="restart"/>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资料检查</w:t>
            </w: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w:t>
            </w:r>
          </w:p>
        </w:tc>
        <w:tc>
          <w:tcPr>
            <w:tcW w:w="7229" w:type="dxa"/>
            <w:vAlign w:val="center"/>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在施工出入口单独设置扬尘控制公示牌，明确管理负责人，主管部门及举报电话。</w:t>
            </w:r>
          </w:p>
        </w:tc>
        <w:tc>
          <w:tcPr>
            <w:tcW w:w="1843" w:type="dxa"/>
            <w:vAlign w:val="center"/>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2</w:t>
            </w:r>
          </w:p>
        </w:tc>
        <w:tc>
          <w:tcPr>
            <w:tcW w:w="7229" w:type="dxa"/>
            <w:vAlign w:val="center"/>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施工单位应编制扬尘控制专项方案，制定空气重污染应急预案，并根据扬尘控制专项方案组织施工，定期对施工扬尘控制措施的落实情况进行检查并形成检查记录。</w:t>
            </w:r>
          </w:p>
        </w:tc>
        <w:tc>
          <w:tcPr>
            <w:tcW w:w="1843" w:type="dxa"/>
            <w:vAlign w:val="center"/>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3</w:t>
            </w:r>
          </w:p>
        </w:tc>
        <w:tc>
          <w:tcPr>
            <w:tcW w:w="7229" w:type="dxa"/>
            <w:vAlign w:val="center"/>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监理单位应编制施工扬尘控制实施细则，并对施工扬尘控制措施的落实情况进行检查并形成检查记录。</w:t>
            </w:r>
          </w:p>
        </w:tc>
        <w:tc>
          <w:tcPr>
            <w:tcW w:w="1843" w:type="dxa"/>
            <w:vAlign w:val="center"/>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监控系统安装</w:t>
            </w: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4</w:t>
            </w:r>
          </w:p>
        </w:tc>
        <w:tc>
          <w:tcPr>
            <w:tcW w:w="7229" w:type="dxa"/>
          </w:tcPr>
          <w:p>
            <w:pPr>
              <w:spacing w:line="220" w:lineRule="atLeast"/>
              <w:rPr>
                <w:rFonts w:ascii="仿宋_GB2312" w:hAnsi="仿宋_GB2312" w:eastAsia="仿宋_GB2312" w:cs="仿宋_GB2312"/>
                <w:b/>
                <w:bCs/>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5000平方米以上土石方工地工程（建筑占地面积），扬尘在线监控系统安</w:t>
            </w:r>
            <w:r>
              <w:rPr>
                <w:rFonts w:hint="eastAsia" w:ascii="仿宋_GB2312" w:hAnsi="仿宋_GB2312" w:eastAsia="仿宋_GB2312" w:cs="仿宋_GB2312"/>
                <w:kern w:val="0"/>
                <w:sz w:val="24"/>
                <w:szCs w:val="24"/>
              </w:rPr>
              <w:t>装应安装到位。</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restart"/>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现场扬尘措施检查</w:t>
            </w: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5</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在土石方开挖时，应严格落实湿法作业措施，围档喷雾降尘系统、雾炮应全程运行；在回填、运输等施工过程中有起尘的应采取喷水、洒水措施。</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6</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施工围挡高度符合要求（主要路段不低于2.5m，一般路段不低于1.8m)，外围墙应设置自动喷雾降尘系统。</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7</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脚手架周边外侧应全部使用密目式安全网封闭，网目数不低于2000目/100cm</w:t>
            </w:r>
            <w:r>
              <w:rPr>
                <w:rFonts w:hint="eastAsia" w:ascii="宋体" w:hAnsi="宋体" w:eastAsia="宋体" w:cs="宋体"/>
                <w:color w:val="000000" w:themeColor="text1"/>
                <w:kern w:val="0"/>
                <w:sz w:val="24"/>
                <w:szCs w:val="24"/>
                <w14:textFill>
                  <w14:solidFill>
                    <w14:schemeClr w14:val="tx1"/>
                  </w14:solidFill>
                </w14:textFill>
              </w:rPr>
              <w:t>²，</w:t>
            </w:r>
            <w:r>
              <w:rPr>
                <w:rFonts w:hint="eastAsia" w:ascii="仿宋_GB2312" w:hAnsi="宋体" w:eastAsia="仿宋_GB2312" w:cs="宋体"/>
                <w:color w:val="000000" w:themeColor="text1"/>
                <w:kern w:val="0"/>
                <w:sz w:val="24"/>
                <w:szCs w:val="24"/>
                <w14:textFill>
                  <w14:solidFill>
                    <w14:schemeClr w14:val="tx1"/>
                  </w14:solidFill>
                </w14:textFill>
              </w:rPr>
              <w:t>悬挑脚手架底部应水平封堵密实。</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8</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砂、石等散状材料应集中分类堆放，并采取覆盖或洒水降尘，粉状材料应封闭存放。</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9</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车辆出入口、场内运输通道、生产加工区及材料设备堆场、办公区、生活区路面应按规定进行硬化处理，</w:t>
            </w:r>
            <w:r>
              <w:rPr>
                <w:rFonts w:hint="eastAsia" w:ascii="仿宋_GB2312" w:hAnsi="仿宋_GB2312" w:eastAsia="仿宋_GB2312" w:cs="仿宋_GB2312"/>
                <w:kern w:val="0"/>
                <w:sz w:val="24"/>
                <w:szCs w:val="24"/>
              </w:rPr>
              <w:t>场内未硬化运输道路应铺养护毯,定期洒水保持湿润。</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10</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长期裸露土方应采取覆盖或固化或绿化或喷洒抑尘剂等扬尘控制措施。</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11</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kern w:val="0"/>
                <w:sz w:val="24"/>
                <w:szCs w:val="24"/>
              </w:rPr>
              <w:t>应设置过水池，</w:t>
            </w:r>
            <w:r>
              <w:rPr>
                <w:rFonts w:hint="eastAsia" w:ascii="仿宋_GB2312" w:hAnsi="仿宋_GB2312" w:eastAsia="仿宋_GB2312" w:cs="仿宋_GB2312"/>
                <w:color w:val="000000" w:themeColor="text1"/>
                <w:kern w:val="0"/>
                <w:sz w:val="24"/>
                <w:szCs w:val="24"/>
                <w14:textFill>
                  <w14:solidFill>
                    <w14:schemeClr w14:val="tx1"/>
                  </w14:solidFill>
                </w14:textFill>
              </w:rPr>
              <w:t>工地出入口整洁有序，无脏乱差现象，并落实门前三包，土方运输车辆货车应封闭，出场地必须有专人负责清洗干净。</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Merge w:val="continue"/>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745" w:type="dxa"/>
            <w:vAlign w:val="center"/>
          </w:tcPr>
          <w:p>
            <w:pPr>
              <w:spacing w:line="220" w:lineRule="atLeas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12</w:t>
            </w:r>
          </w:p>
        </w:tc>
        <w:tc>
          <w:tcPr>
            <w:tcW w:w="7229" w:type="dxa"/>
          </w:tcPr>
          <w:p>
            <w:pPr>
              <w:spacing w:line="220" w:lineRule="atLeast"/>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kern w:val="0"/>
                <w:sz w:val="24"/>
                <w:szCs w:val="24"/>
              </w:rPr>
              <w:t>主体装饰阶段，围墙、外架喷雾系统应在每天8：30、10:00、12:00、14:00、16:00、17:00定期运行20分钟（雨天除外），喷淋角度应朝向场内，土方作业、装卸干混砂浆时全程开启，场内主要道路应每天冲洗一次以上。</w:t>
            </w:r>
          </w:p>
        </w:tc>
        <w:tc>
          <w:tcPr>
            <w:tcW w:w="1843" w:type="dxa"/>
          </w:tcPr>
          <w:p>
            <w:pPr>
              <w:spacing w:line="220" w:lineRule="atLeast"/>
              <w:jc w:val="left"/>
              <w:rPr>
                <w:rFonts w:ascii="仿宋_GB2312" w:hAnsi="仿宋_GB2312" w:eastAsia="仿宋_GB2312" w:cs="仿宋_GB2312"/>
                <w:color w:val="000000" w:themeColor="text1"/>
                <w:kern w:val="0"/>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line="220" w:lineRule="atLeast"/>
        <w:textAlignment w:val="auto"/>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注：1.因场地限制无法按规定硬化道路、设置或拆除过水池项目需报质量安全监督机构审批后实施；</w:t>
      </w:r>
      <w:r>
        <w:rPr>
          <w:rFonts w:hint="eastAsia" w:ascii="仿宋_GB2312" w:hAnsi="仿宋_GB2312" w:eastAsia="仿宋_GB2312" w:cs="仿宋_GB2312"/>
          <w:color w:val="000000" w:themeColor="text1"/>
          <w:kern w:val="0"/>
          <w:sz w:val="24"/>
          <w:szCs w:val="24"/>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雾炮配置要求：沿场内运输道路每隔80米设置一台，线形工程在每个土石方施工作业点位配置；土方作业面、基坑上坡处必须各设置一台，在作业时段全程开启，土石方工地不少于2台</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3.在主体阶段外架应设置喷雾系统；</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.场地运输通道在土石方阶段设置硬化路面为</w:t>
      </w:r>
      <w:r>
        <w:rPr>
          <w:rFonts w:hint="eastAsia" w:ascii="仿宋_GB2312" w:hAnsi="仿宋_GB2312" w:eastAsia="仿宋_GB2312" w:cs="仿宋_GB2312"/>
          <w:color w:val="000000" w:themeColor="text1"/>
          <w:kern w:val="0"/>
          <w:sz w:val="24"/>
          <w:szCs w:val="24"/>
          <w14:textFill>
            <w14:solidFill>
              <w14:schemeClr w14:val="tx1"/>
            </w14:solidFill>
          </w14:textFill>
        </w:rPr>
        <w:t>过水池通往施工作业面20m以上；</w:t>
      </w:r>
      <w:r>
        <w:rPr>
          <w:rFonts w:hint="eastAsia" w:ascii="仿宋_GB2312" w:hAnsi="仿宋_GB2312" w:eastAsia="仿宋_GB2312" w:cs="仿宋_GB2312"/>
          <w:kern w:val="0"/>
          <w:sz w:val="24"/>
          <w:szCs w:val="24"/>
        </w:rPr>
        <w:t>土方作业完毕后</w:t>
      </w:r>
      <w:r>
        <w:rPr>
          <w:rFonts w:hint="eastAsia" w:ascii="仿宋_GB2312" w:hAnsi="仿宋_GB2312" w:eastAsia="仿宋_GB2312" w:cs="仿宋_GB2312"/>
          <w:sz w:val="24"/>
          <w:szCs w:val="24"/>
        </w:rPr>
        <w:t>场地运输通道应全部硬化；</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24"/>
          <w:szCs w:val="24"/>
          <w14:textFill>
            <w14:solidFill>
              <w14:schemeClr w14:val="tx1"/>
            </w14:solidFill>
          </w14:textFill>
        </w:rPr>
        <w:t>开挖七天后的土方视为长期裸露土方；</w:t>
      </w: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24"/>
          <w:szCs w:val="24"/>
          <w14:textFill>
            <w14:solidFill>
              <w14:schemeClr w14:val="tx1"/>
            </w14:solidFill>
          </w14:textFill>
        </w:rPr>
        <w:t>.采用覆盖的材料应采用可降解环保材料，防止二次污染现象。</w:t>
      </w:r>
    </w:p>
    <w:p>
      <w:pPr>
        <w:spacing w:line="220" w:lineRule="atLeas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检查人员：                              日期：</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E7"/>
    <w:rsid w:val="00016FD9"/>
    <w:rsid w:val="000B188F"/>
    <w:rsid w:val="00106EE6"/>
    <w:rsid w:val="0013450B"/>
    <w:rsid w:val="00167204"/>
    <w:rsid w:val="001F021E"/>
    <w:rsid w:val="002317EB"/>
    <w:rsid w:val="00237EDD"/>
    <w:rsid w:val="00260409"/>
    <w:rsid w:val="0029683E"/>
    <w:rsid w:val="002A4DAC"/>
    <w:rsid w:val="002C11F5"/>
    <w:rsid w:val="002F1307"/>
    <w:rsid w:val="00436045"/>
    <w:rsid w:val="004E611D"/>
    <w:rsid w:val="0054648F"/>
    <w:rsid w:val="005D21E7"/>
    <w:rsid w:val="005E69AA"/>
    <w:rsid w:val="0068784A"/>
    <w:rsid w:val="006A25C8"/>
    <w:rsid w:val="006C65FD"/>
    <w:rsid w:val="006D6D5C"/>
    <w:rsid w:val="006E7131"/>
    <w:rsid w:val="006E79FD"/>
    <w:rsid w:val="0070216F"/>
    <w:rsid w:val="00794024"/>
    <w:rsid w:val="007F4F66"/>
    <w:rsid w:val="008A55B6"/>
    <w:rsid w:val="009236B1"/>
    <w:rsid w:val="009359BE"/>
    <w:rsid w:val="009745C3"/>
    <w:rsid w:val="009A3CFF"/>
    <w:rsid w:val="009B13D3"/>
    <w:rsid w:val="009C6C34"/>
    <w:rsid w:val="009F07F5"/>
    <w:rsid w:val="00A679F4"/>
    <w:rsid w:val="00A91C29"/>
    <w:rsid w:val="00AE3EE8"/>
    <w:rsid w:val="00B10DB6"/>
    <w:rsid w:val="00BB55DF"/>
    <w:rsid w:val="00BB7906"/>
    <w:rsid w:val="00BC094C"/>
    <w:rsid w:val="00BF2969"/>
    <w:rsid w:val="00C235A4"/>
    <w:rsid w:val="00C96F52"/>
    <w:rsid w:val="00D47EF9"/>
    <w:rsid w:val="00DA4120"/>
    <w:rsid w:val="00DC2596"/>
    <w:rsid w:val="00DC294B"/>
    <w:rsid w:val="00DE7A5D"/>
    <w:rsid w:val="00EC1B85"/>
    <w:rsid w:val="00EF673D"/>
    <w:rsid w:val="00F04172"/>
    <w:rsid w:val="00F34B0E"/>
    <w:rsid w:val="00F366AC"/>
    <w:rsid w:val="00F40215"/>
    <w:rsid w:val="00FC3BCD"/>
    <w:rsid w:val="00FE2B3B"/>
    <w:rsid w:val="09724C52"/>
    <w:rsid w:val="0D120426"/>
    <w:rsid w:val="105E0D46"/>
    <w:rsid w:val="10C017DD"/>
    <w:rsid w:val="11053A0D"/>
    <w:rsid w:val="11BB68AC"/>
    <w:rsid w:val="15D66601"/>
    <w:rsid w:val="180531C2"/>
    <w:rsid w:val="21D4575D"/>
    <w:rsid w:val="22657179"/>
    <w:rsid w:val="22677CE5"/>
    <w:rsid w:val="23BC3E7D"/>
    <w:rsid w:val="330406D7"/>
    <w:rsid w:val="33CB36B6"/>
    <w:rsid w:val="39AB5657"/>
    <w:rsid w:val="3C4F0701"/>
    <w:rsid w:val="428D0232"/>
    <w:rsid w:val="44914564"/>
    <w:rsid w:val="44E27B52"/>
    <w:rsid w:val="484953DD"/>
    <w:rsid w:val="4C1F22A6"/>
    <w:rsid w:val="546F3C06"/>
    <w:rsid w:val="59E51DA5"/>
    <w:rsid w:val="5A311661"/>
    <w:rsid w:val="5F90B2E0"/>
    <w:rsid w:val="5FED79C0"/>
    <w:rsid w:val="60796728"/>
    <w:rsid w:val="62FD2A02"/>
    <w:rsid w:val="65F64FB6"/>
    <w:rsid w:val="669B1885"/>
    <w:rsid w:val="711365A5"/>
    <w:rsid w:val="7DEAE005"/>
    <w:rsid w:val="7FC39914"/>
    <w:rsid w:val="97BF82B5"/>
    <w:rsid w:val="BAC7AAB6"/>
    <w:rsid w:val="BFF30892"/>
    <w:rsid w:val="C5FF541C"/>
    <w:rsid w:val="D7EF9EE1"/>
    <w:rsid w:val="F7BF5424"/>
    <w:rsid w:val="FDFDEC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日期 Char"/>
    <w:basedOn w:val="9"/>
    <w:link w:val="3"/>
    <w:semiHidden/>
    <w:qFormat/>
    <w:uiPriority w:val="99"/>
  </w:style>
  <w:style w:type="character" w:customStyle="1" w:styleId="13">
    <w:name w:val="批注框文本 Char"/>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415</Words>
  <Characters>2368</Characters>
  <Lines>19</Lines>
  <Paragraphs>5</Paragraphs>
  <TotalTime>77</TotalTime>
  <ScaleCrop>false</ScaleCrop>
  <LinksUpToDate>false</LinksUpToDate>
  <CharactersWithSpaces>2778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2020-08-28T18:54:00Z</dcterms:created>
  <dc:creator>金华市建设工程质量监督站</dc:creator>
  <cp:lastModifiedBy>uos</cp:lastModifiedBy>
  <cp:lastPrinted>2020-08-31T16:36:00Z</cp:lastPrinted>
  <dcterms:modified xsi:type="dcterms:W3CDTF">2021-11-16T16:20:42Z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