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pacing w:val="0"/>
          <w:sz w:val="44"/>
          <w:szCs w:val="44"/>
        </w:rPr>
      </w:pPr>
      <w:bookmarkStart w:id="0" w:name="_GoBack"/>
      <w:r>
        <w:rPr>
          <w:rFonts w:hint="default" w:ascii="Times New Roman" w:hAnsi="Times New Roman" w:eastAsia="方正小标宋简体" w:cs="Times New Roman"/>
          <w:spacing w:val="0"/>
          <w:sz w:val="44"/>
          <w:szCs w:val="44"/>
        </w:rPr>
        <w:t>金华市区生活垃圾分类收运服务单位</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pacing w:val="0"/>
          <w:sz w:val="44"/>
          <w:szCs w:val="44"/>
        </w:rPr>
      </w:pPr>
      <w:r>
        <w:rPr>
          <w:rFonts w:hint="default" w:ascii="Times New Roman" w:hAnsi="Times New Roman" w:eastAsia="方正小标宋简体" w:cs="Times New Roman"/>
          <w:spacing w:val="0"/>
          <w:sz w:val="44"/>
          <w:szCs w:val="44"/>
        </w:rPr>
        <w:t>管理办法</w:t>
      </w:r>
    </w:p>
    <w:bookmarkEnd w:id="0"/>
    <w:p>
      <w:pPr>
        <w:spacing w:line="500" w:lineRule="exact"/>
        <w:rPr>
          <w:rFonts w:hint="default" w:ascii="Times New Roman" w:hAnsi="Times New Roman" w:cs="Times New Roman"/>
          <w:spacing w:val="0"/>
          <w:szCs w:val="32"/>
        </w:rPr>
      </w:pPr>
      <w:r>
        <w:rPr>
          <w:rFonts w:hint="default" w:ascii="Times New Roman" w:hAnsi="Times New Roman" w:cs="Times New Roman"/>
          <w:spacing w:val="0"/>
        </w:rPr>
        <w:t xml:space="preserve"> </w:t>
      </w:r>
    </w:p>
    <w:p>
      <w:pPr>
        <w:pStyle w:val="4"/>
        <w:spacing w:line="500" w:lineRule="exact"/>
        <w:ind w:firstLine="640" w:firstLineChars="200"/>
        <w:jc w:val="both"/>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为进一步加强我市生活垃圾分类收集运输管理，规范生活垃圾分类收集运输服务，美化城市环境，根据《浙江省城市市容和环境卫生管理条例》《浙江省城镇生活垃圾分类管理办法》《金华市城市市容和环境卫生管理规定》等法规规章和《生活垃圾分类标志》（GB/T19095-2019）、《城镇生活垃圾分类标志》（DB33/T 1166-2019）、《生活垃圾收运技术规程》（CJJ 205-2013）等标准，以及创建全国文明城市和“垃圾革命”试点城市建设需要，依照浙江省住房和城乡建设厅《关于进一步规范浙江省城市生活垃圾经营性服务管理的实施意见》，结合本市实际，制定本办法。</w:t>
      </w:r>
    </w:p>
    <w:p>
      <w:pPr>
        <w:spacing w:line="500" w:lineRule="exact"/>
        <w:ind w:firstLine="640" w:firstLineChars="200"/>
        <w:rPr>
          <w:rFonts w:hint="default" w:ascii="Times New Roman" w:hAnsi="Times New Roman" w:eastAsia="黑体" w:cs="Times New Roman"/>
          <w:spacing w:val="0"/>
          <w:szCs w:val="32"/>
        </w:rPr>
      </w:pPr>
      <w:r>
        <w:rPr>
          <w:rFonts w:hint="default" w:ascii="Times New Roman" w:hAnsi="Times New Roman" w:eastAsia="黑体" w:cs="Times New Roman"/>
          <w:spacing w:val="0"/>
          <w:szCs w:val="32"/>
        </w:rPr>
        <w:t>一、总则</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金华市区生活垃圾分类收集运输服务实行服务许可制度，金华市住房和城乡建设局负责制定生活垃圾分类收集运输服务许可和考核标准以及审核发证。</w:t>
      </w:r>
    </w:p>
    <w:p>
      <w:pPr>
        <w:spacing w:line="500" w:lineRule="exact"/>
        <w:ind w:firstLine="640" w:firstLineChars="200"/>
        <w:rPr>
          <w:rFonts w:hint="default" w:ascii="Times New Roman" w:hAnsi="Times New Roman" w:eastAsia="黑体" w:cs="Times New Roman"/>
          <w:spacing w:val="0"/>
          <w:szCs w:val="32"/>
        </w:rPr>
      </w:pPr>
      <w:r>
        <w:rPr>
          <w:rFonts w:hint="default" w:ascii="Times New Roman" w:hAnsi="Times New Roman" w:eastAsia="黑体" w:cs="Times New Roman"/>
          <w:spacing w:val="0"/>
          <w:szCs w:val="32"/>
        </w:rPr>
        <w:t>二、适用范围</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本办法适用于金华市区范围（包括婺城区、金东区、金华经济技术开发区、金义都市新区、金华山旅游经济区）。</w:t>
      </w:r>
    </w:p>
    <w:p>
      <w:pPr>
        <w:spacing w:line="500" w:lineRule="exact"/>
        <w:ind w:firstLine="640" w:firstLineChars="200"/>
        <w:rPr>
          <w:rFonts w:hint="default" w:ascii="Times New Roman" w:hAnsi="Times New Roman" w:eastAsia="黑体" w:cs="Times New Roman"/>
          <w:spacing w:val="0"/>
          <w:szCs w:val="32"/>
        </w:rPr>
      </w:pPr>
      <w:r>
        <w:rPr>
          <w:rFonts w:hint="default" w:ascii="Times New Roman" w:hAnsi="Times New Roman" w:eastAsia="黑体" w:cs="Times New Roman"/>
          <w:spacing w:val="0"/>
          <w:szCs w:val="32"/>
        </w:rPr>
        <w:t>三、具备条件</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申请从事生活垃圾分类收集运输服务的单位，应当具备以下条件：</w:t>
      </w:r>
    </w:p>
    <w:p>
      <w:pPr>
        <w:spacing w:line="500" w:lineRule="exact"/>
        <w:ind w:firstLine="640" w:firstLineChars="200"/>
        <w:rPr>
          <w:rFonts w:hint="eastAsia" w:ascii="楷体" w:hAnsi="楷体" w:eastAsia="楷体" w:cs="楷体"/>
          <w:spacing w:val="0"/>
          <w:szCs w:val="32"/>
        </w:rPr>
      </w:pPr>
      <w:r>
        <w:rPr>
          <w:rFonts w:hint="eastAsia" w:ascii="楷体" w:hAnsi="楷体" w:eastAsia="楷体" w:cs="楷体"/>
          <w:spacing w:val="0"/>
          <w:szCs w:val="32"/>
        </w:rPr>
        <w:t>（一）一般要求</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1.在金华市区市场监督管理局注册独立法人，成立分公司，取得《营业执照》，经营范围包含城市生活垃圾经营性收集、运输服务项目。</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2.具有固定的封闭停车场，可租赁，租赁期限满足合同服务年限要求。</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3.与经营规模相匹配的办公场所、停车场。</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4.具备完善的行政技术、安全生产、质量管理、车辆设备及教育培训等管理制度及相应岗位人员。</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5.制定有科学合理的应对特殊天气、重大事故或自然灾害应急预案。</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6.法律、法规规定的其他条件。</w:t>
      </w:r>
    </w:p>
    <w:p>
      <w:pPr>
        <w:spacing w:line="500" w:lineRule="exact"/>
        <w:ind w:firstLine="640" w:firstLineChars="200"/>
        <w:rPr>
          <w:rFonts w:hint="default" w:ascii="楷体" w:hAnsi="楷体" w:eastAsia="楷体" w:cs="楷体"/>
          <w:spacing w:val="0"/>
          <w:szCs w:val="32"/>
        </w:rPr>
      </w:pPr>
      <w:r>
        <w:rPr>
          <w:rFonts w:hint="default" w:ascii="楷体" w:hAnsi="楷体" w:eastAsia="楷体" w:cs="楷体"/>
          <w:spacing w:val="0"/>
          <w:szCs w:val="32"/>
        </w:rPr>
        <w:t>（二）车辆及设备基本要求</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1.机动车辆</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（1）生活垃圾分类收集运输机动车辆须满足服务需求，符合专业车辆要求。</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（2）所属机动车辆、设备必须注册在本单位名下，并在金华市辖区公安、交通等部门取得相应证照。</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（3）机动车辆属于生活垃圾分类密闭运输的专用车辆，具有防臭味扩散、防遗撒、防渗滤液滴漏等功能。</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4）机动车辆外观应与垃圾类别、分类容器颜色及标志对应，按照城镇生活垃圾分类要求，统一喷印单位名称、车辆编号、分类标志、监督电话（82068571）和金华城市标志，分类标志的样式和颜色符合现行国家生活垃圾分类标志（GB/T19095－2019）和浙江省城镇生活垃圾分类标准（DB33/T1166－2019）的规定。</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金华城市标志规格颜色按规定设置，定位在车厢前上角。</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分类运输车辆箱</w:t>
      </w:r>
      <w:r>
        <w:rPr>
          <w:rFonts w:hint="default" w:ascii="Times New Roman" w:hAnsi="Times New Roman" w:cs="Times New Roman"/>
          <w:b w:val="0"/>
          <w:bCs w:val="0"/>
          <w:spacing w:val="0"/>
          <w:szCs w:val="32"/>
        </w:rPr>
        <w:t>体上标志框外箱体颜色：其他垃圾采用灰色、易腐垃圾采用绿色，有害垃圾采用红色，可回收物采用蓝色；标志框内颜色：统一采用</w:t>
      </w:r>
      <w:r>
        <w:rPr>
          <w:rFonts w:hint="default" w:ascii="Times New Roman" w:hAnsi="Times New Roman" w:cs="Times New Roman"/>
          <w:spacing w:val="0"/>
          <w:szCs w:val="32"/>
        </w:rPr>
        <w:t>国家标准规定的标志色和白底配色方案。</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分类运输车辆标志采用横式图文组合，标志尺寸按国家标准执行，具体详见附件2。</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（5）机动车辆粘贴反光标贴，安装具有反光功能的放大号牌。安装符合国家标准的卫星定位系统、行车及装卸记录仪等设备，相应数据信息接入金华市垃圾分类智慧监管平台。</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2.非机动车辆</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（1）生活垃圾分类收集车辆须满足服务需求。</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（2）收集车辆必须具有防臭味扩散、防遗撒、防渗滤液滴漏等功能。</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3）非机动车辆外观应与垃圾类别、分类容器颜色及标志对应，按照城镇生活垃圾分类要求，统一喷印单位名称、车辆编号、分类标志、监督电话（82068571）和金华城市标志，分类标志的样式和颜色符合现行国家生活垃圾分类标志（GB/T19095－2019）和浙江省城镇生活垃圾分类标准（DB33/T1166－2019）的规定。具体详见附件2。</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（4）车身粘贴反光标贴。</w:t>
      </w:r>
    </w:p>
    <w:p>
      <w:pPr>
        <w:spacing w:line="500" w:lineRule="exact"/>
        <w:ind w:firstLine="640" w:firstLineChars="200"/>
        <w:rPr>
          <w:rFonts w:hint="default" w:ascii="楷体" w:hAnsi="楷体" w:eastAsia="楷体" w:cs="楷体"/>
          <w:spacing w:val="0"/>
          <w:szCs w:val="32"/>
        </w:rPr>
      </w:pPr>
      <w:r>
        <w:rPr>
          <w:rFonts w:hint="default" w:ascii="楷体" w:hAnsi="楷体" w:eastAsia="楷体" w:cs="楷体"/>
          <w:spacing w:val="0"/>
          <w:szCs w:val="32"/>
        </w:rPr>
        <w:t>（三）对服务单位机构和人员的要求：</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1.经营管理体系健全，组织结构设置合理，有专业的经营管理队伍。</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2.驾驶、操作人员数量与车辆、设备至少按1:1的比例配置。</w:t>
      </w:r>
    </w:p>
    <w:p>
      <w:pPr>
        <w:spacing w:line="500" w:lineRule="exact"/>
        <w:ind w:firstLine="640" w:firstLineChars="200"/>
        <w:rPr>
          <w:rFonts w:hint="default" w:ascii="Times New Roman" w:hAnsi="Times New Roman" w:eastAsia="黑体" w:cs="Times New Roman"/>
          <w:spacing w:val="0"/>
          <w:szCs w:val="32"/>
        </w:rPr>
      </w:pPr>
      <w:r>
        <w:rPr>
          <w:rFonts w:hint="default" w:ascii="Times New Roman" w:hAnsi="Times New Roman" w:eastAsia="黑体" w:cs="Times New Roman"/>
          <w:spacing w:val="0"/>
          <w:szCs w:val="32"/>
        </w:rPr>
        <w:t>四、申报材料</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 xml:space="preserve">（一）《城市生活垃圾经营性清扫、收集、运输服务许可申请表》。 </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（二）《营业执照》、《法人身份证复印件》、《道路运输经营许可证》（只限于企业）。</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（三）《机动车车辆行驶证》、《驾驶证》。</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（四）劳动合同复印件、社会保险凭证。</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（五）办公场所、停车场所产权或租赁相关材料。</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 xml:space="preserve">（六）管理制度及应急预案。 </w:t>
      </w:r>
    </w:p>
    <w:p>
      <w:pPr>
        <w:spacing w:line="500" w:lineRule="exact"/>
        <w:ind w:firstLine="640" w:firstLineChars="200"/>
        <w:rPr>
          <w:rFonts w:hint="default" w:ascii="Times New Roman" w:hAnsi="Times New Roman" w:eastAsia="黑体" w:cs="Times New Roman"/>
          <w:spacing w:val="0"/>
          <w:szCs w:val="32"/>
        </w:rPr>
      </w:pPr>
      <w:r>
        <w:rPr>
          <w:rFonts w:hint="default" w:ascii="Times New Roman" w:hAnsi="Times New Roman" w:eastAsia="黑体" w:cs="Times New Roman"/>
          <w:spacing w:val="0"/>
          <w:szCs w:val="32"/>
        </w:rPr>
        <w:t>五、核准程序</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（一）提交申请材料：服务单位持申报材料的书面和电子文档，向金华市住房和城乡建设局提出申请。</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（二）受理和审查核准：由金华市住房和城乡建设局审批处负责受理和审查核准，包括书面审查及现场核实，市环卫服务中心参与现场核实，受理地点为金华市行政服务中心三楼E34窗口。</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（三）审批核准时限：自确认受理后5个工作日内完成审批。</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（四）发证：窗口领取或由窗口人员邮寄送达。</w:t>
      </w:r>
    </w:p>
    <w:p>
      <w:pPr>
        <w:spacing w:line="500" w:lineRule="exact"/>
        <w:ind w:firstLine="640" w:firstLineChars="200"/>
        <w:rPr>
          <w:rFonts w:hint="default" w:ascii="Times New Roman" w:hAnsi="Times New Roman" w:eastAsia="黑体" w:cs="Times New Roman"/>
          <w:spacing w:val="0"/>
          <w:szCs w:val="32"/>
        </w:rPr>
      </w:pPr>
      <w:r>
        <w:rPr>
          <w:rFonts w:hint="default" w:ascii="Times New Roman" w:hAnsi="Times New Roman" w:eastAsia="黑体" w:cs="Times New Roman"/>
          <w:spacing w:val="0"/>
          <w:szCs w:val="32"/>
        </w:rPr>
        <w:t>六、考核管理</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（一）按照《金华市生活垃圾分类收集运输服务单位考核细则》对服务单位实施年度考核。</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（二）服务单位年度考核实行评分制，分值为100分，考核周期为一个日历年。年度考核扣减至一定分值时，由主管部门采取惩戒措施。</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1.年度评分在70-79分的，由主管部门约谈服务单位负责人，予以警告；</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2.年度评分在60-69分的，由主管部门在行业内通报批评，服务单位组织内部学习；</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3.年度评分低于60分的，由金华市住房和城乡建设局责令服务单位整改，服务单位列入不良服务评价名单，定期公布。整改期间不得承接新的生活垃圾分类收集运输项目，已承接的项目继续完成。规定期限内整改仍未达到条件的，撤销服务许可。</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三）年度考核分为优秀、合格、不合格三类。考核成绩在90分以上的为优秀；考核成绩在60分至89分之间的为合格；考核成绩在60分以下的为不合格，责令整改，服务单位列入不良服务评价名单，规定期限内整改仍未达到条件的，撤销服务许可。被撤销服务许可的单位，两年内不得从事生活垃圾分类收集运输服务。</w:t>
      </w:r>
    </w:p>
    <w:p>
      <w:pPr>
        <w:spacing w:line="500" w:lineRule="exact"/>
        <w:ind w:firstLine="640" w:firstLineChars="200"/>
        <w:rPr>
          <w:rFonts w:hint="default" w:ascii="Times New Roman" w:hAnsi="Times New Roman" w:eastAsia="黑体" w:cs="Times New Roman"/>
          <w:spacing w:val="0"/>
          <w:szCs w:val="32"/>
        </w:rPr>
      </w:pPr>
      <w:r>
        <w:rPr>
          <w:rFonts w:hint="default" w:ascii="Times New Roman" w:hAnsi="Times New Roman" w:eastAsia="黑体" w:cs="Times New Roman"/>
          <w:spacing w:val="0"/>
          <w:szCs w:val="32"/>
        </w:rPr>
        <w:t>七、招标管理</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生活垃圾分类收集运输发包主体包括区政府、街道（乡镇）办事处、社区、物业企业，要求在标书编制阶段将收集运输要求报金华市住房和城乡建设局审核，市环卫服务中心受委托具体实施，主要内容包括生活垃圾运输处置去向（转运站、填埋场、焚烧厂）、清运次数、车辆配置（分类收运、标志标识、车身颜色）等。发包项目分类运输执行情况将纳入市区环境卫生管理考评。</w:t>
      </w:r>
    </w:p>
    <w:p>
      <w:pPr>
        <w:spacing w:line="500" w:lineRule="exact"/>
        <w:ind w:firstLine="640" w:firstLineChars="200"/>
        <w:rPr>
          <w:rFonts w:hint="default" w:ascii="Times New Roman" w:hAnsi="Times New Roman" w:eastAsia="黑体" w:cs="Times New Roman"/>
          <w:spacing w:val="0"/>
          <w:szCs w:val="32"/>
        </w:rPr>
      </w:pPr>
      <w:r>
        <w:rPr>
          <w:rFonts w:hint="default" w:ascii="Times New Roman" w:hAnsi="Times New Roman" w:eastAsia="黑体" w:cs="Times New Roman"/>
          <w:spacing w:val="0"/>
          <w:szCs w:val="32"/>
        </w:rPr>
        <w:t>八、附则</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原招标确定的生活垃圾分类收集运输服务单位参照本办法执行。</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本办法自2020年7月1日起实施。</w:t>
      </w:r>
    </w:p>
    <w:p>
      <w:pPr>
        <w:spacing w:line="500" w:lineRule="exact"/>
        <w:ind w:firstLine="640" w:firstLineChars="200"/>
        <w:rPr>
          <w:rFonts w:hint="default" w:ascii="Times New Roman" w:hAnsi="Times New Roman" w:cs="Times New Roman"/>
          <w:spacing w:val="0"/>
          <w:szCs w:val="32"/>
        </w:rPr>
      </w:pP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附件：1.金华市生活垃圾分类收集运输服务单位考核细则</w:t>
      </w:r>
    </w:p>
    <w:p>
      <w:pPr>
        <w:spacing w:line="500" w:lineRule="exact"/>
        <w:ind w:firstLine="640" w:firstLineChars="200"/>
        <w:rPr>
          <w:rFonts w:hint="default" w:ascii="Times New Roman" w:hAnsi="Times New Roman" w:cs="Times New Roman"/>
          <w:spacing w:val="0"/>
          <w:szCs w:val="32"/>
        </w:rPr>
      </w:pPr>
      <w:r>
        <w:rPr>
          <w:rFonts w:hint="default" w:ascii="Times New Roman" w:hAnsi="Times New Roman" w:cs="Times New Roman"/>
          <w:spacing w:val="0"/>
          <w:szCs w:val="32"/>
        </w:rPr>
        <w:t xml:space="preserve">      2.生活垃圾分类标志设置规则</w:t>
      </w:r>
    </w:p>
    <w:p>
      <w:pPr>
        <w:spacing w:line="220" w:lineRule="atLeast"/>
        <w:rPr>
          <w:rFonts w:hint="eastAsia" w:ascii="仿宋_GB2312" w:hAnsi="仿宋_GB2312" w:cs="仿宋_GB2312"/>
          <w:sz w:val="28"/>
          <w:szCs w:val="28"/>
        </w:rPr>
      </w:pPr>
      <w:r>
        <w:rPr>
          <w:rFonts w:hint="eastAsia"/>
          <w:sz w:val="28"/>
          <w:szCs w:val="28"/>
        </w:rPr>
        <w:br w:type="page"/>
      </w:r>
      <w:r>
        <w:rPr>
          <w:rFonts w:hint="eastAsia" w:ascii="黑体" w:hAnsi="黑体" w:eastAsia="黑体" w:cs="黑体"/>
          <w:sz w:val="28"/>
          <w:szCs w:val="28"/>
        </w:rPr>
        <w:t>附件1</w:t>
      </w:r>
    </w:p>
    <w:p>
      <w:pPr>
        <w:spacing w:line="220" w:lineRule="atLeast"/>
        <w:jc w:val="center"/>
        <w:rPr>
          <w:rFonts w:ascii="黑体" w:hAnsi="黑体" w:eastAsia="黑体" w:cs="仿宋_GB2312"/>
          <w:b/>
          <w:sz w:val="36"/>
          <w:szCs w:val="36"/>
        </w:rPr>
      </w:pPr>
      <w:r>
        <w:rPr>
          <w:rFonts w:hint="eastAsia" w:ascii="黑体" w:hAnsi="黑体" w:eastAsia="黑体" w:cs="仿宋_GB2312"/>
          <w:b/>
          <w:sz w:val="36"/>
          <w:szCs w:val="36"/>
        </w:rPr>
        <w:t>金华市生活垃圾分类收集运输服务单位考核细则</w:t>
      </w:r>
    </w:p>
    <w:tbl>
      <w:tblPr>
        <w:tblStyle w:val="3"/>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596"/>
        <w:gridCol w:w="3366"/>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6" w:type="dxa"/>
            <w:vAlign w:val="center"/>
          </w:tcPr>
          <w:p>
            <w:pPr>
              <w:jc w:val="center"/>
              <w:rPr>
                <w:rFonts w:ascii="仿宋_GB2312"/>
                <w:sz w:val="24"/>
              </w:rPr>
            </w:pPr>
            <w:r>
              <w:rPr>
                <w:rFonts w:hint="eastAsia" w:ascii="仿宋_GB2312"/>
                <w:sz w:val="24"/>
              </w:rPr>
              <w:t>序号</w:t>
            </w:r>
          </w:p>
        </w:tc>
        <w:tc>
          <w:tcPr>
            <w:tcW w:w="1596" w:type="dxa"/>
            <w:vAlign w:val="center"/>
          </w:tcPr>
          <w:p>
            <w:pPr>
              <w:jc w:val="center"/>
              <w:rPr>
                <w:rFonts w:ascii="仿宋_GB2312"/>
                <w:sz w:val="24"/>
              </w:rPr>
            </w:pPr>
            <w:r>
              <w:rPr>
                <w:rFonts w:hint="eastAsia" w:ascii="仿宋_GB2312"/>
                <w:sz w:val="24"/>
              </w:rPr>
              <w:t>检查项目</w:t>
            </w:r>
          </w:p>
        </w:tc>
        <w:tc>
          <w:tcPr>
            <w:tcW w:w="3366" w:type="dxa"/>
            <w:vAlign w:val="center"/>
          </w:tcPr>
          <w:p>
            <w:pPr>
              <w:jc w:val="center"/>
              <w:rPr>
                <w:rFonts w:ascii="仿宋_GB2312"/>
                <w:sz w:val="24"/>
              </w:rPr>
            </w:pPr>
            <w:r>
              <w:rPr>
                <w:rFonts w:hint="eastAsia" w:ascii="仿宋_GB2312"/>
                <w:sz w:val="24"/>
              </w:rPr>
              <w:t>标准</w:t>
            </w:r>
          </w:p>
        </w:tc>
        <w:tc>
          <w:tcPr>
            <w:tcW w:w="3618" w:type="dxa"/>
            <w:vAlign w:val="center"/>
          </w:tcPr>
          <w:p>
            <w:pPr>
              <w:jc w:val="center"/>
              <w:rPr>
                <w:rFonts w:ascii="仿宋_GB2312"/>
                <w:sz w:val="24"/>
              </w:rPr>
            </w:pPr>
            <w:r>
              <w:rPr>
                <w:rFonts w:hint="eastAsia" w:ascii="仿宋_GB2312"/>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6" w:type="dxa"/>
            <w:vAlign w:val="center"/>
          </w:tcPr>
          <w:p>
            <w:pPr>
              <w:jc w:val="center"/>
              <w:rPr>
                <w:rFonts w:ascii="仿宋_GB2312"/>
                <w:sz w:val="24"/>
              </w:rPr>
            </w:pPr>
            <w:r>
              <w:rPr>
                <w:rFonts w:hint="eastAsia" w:ascii="仿宋_GB2312"/>
                <w:sz w:val="24"/>
              </w:rPr>
              <w:t>一</w:t>
            </w:r>
          </w:p>
        </w:tc>
        <w:tc>
          <w:tcPr>
            <w:tcW w:w="1596" w:type="dxa"/>
            <w:vAlign w:val="center"/>
          </w:tcPr>
          <w:p>
            <w:pPr>
              <w:jc w:val="center"/>
              <w:rPr>
                <w:rFonts w:ascii="仿宋_GB2312"/>
                <w:sz w:val="24"/>
              </w:rPr>
            </w:pPr>
            <w:r>
              <w:rPr>
                <w:rFonts w:hint="eastAsia" w:ascii="仿宋_GB2312"/>
                <w:sz w:val="24"/>
              </w:rPr>
              <w:t>制度台账</w:t>
            </w:r>
          </w:p>
        </w:tc>
        <w:tc>
          <w:tcPr>
            <w:tcW w:w="3366" w:type="dxa"/>
            <w:vAlign w:val="center"/>
          </w:tcPr>
          <w:p>
            <w:pPr>
              <w:jc w:val="center"/>
              <w:rPr>
                <w:rFonts w:ascii="仿宋_GB2312"/>
                <w:sz w:val="24"/>
              </w:rPr>
            </w:pPr>
            <w:r>
              <w:rPr>
                <w:rFonts w:hint="eastAsia" w:ascii="仿宋_GB2312"/>
                <w:sz w:val="24"/>
              </w:rPr>
              <w:t>行政、安全生产、车辆设备及保洁、教育培训等内部管理制度；日常作业台账。</w:t>
            </w:r>
          </w:p>
        </w:tc>
        <w:tc>
          <w:tcPr>
            <w:tcW w:w="3618" w:type="dxa"/>
            <w:vAlign w:val="center"/>
          </w:tcPr>
          <w:p>
            <w:pPr>
              <w:jc w:val="center"/>
              <w:rPr>
                <w:rFonts w:ascii="仿宋_GB2312"/>
                <w:sz w:val="24"/>
              </w:rPr>
            </w:pPr>
            <w:r>
              <w:rPr>
                <w:rFonts w:hint="eastAsia" w:ascii="仿宋_GB2312"/>
                <w:sz w:val="24"/>
              </w:rPr>
              <w:t>未制定或完善企业内部相应管理制度的，每项扣2分；未做好日常作业台账的，扣2分。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6" w:type="dxa"/>
            <w:vMerge w:val="restart"/>
            <w:vAlign w:val="center"/>
          </w:tcPr>
          <w:p>
            <w:pPr>
              <w:jc w:val="center"/>
              <w:rPr>
                <w:rFonts w:ascii="仿宋_GB2312"/>
                <w:sz w:val="24"/>
              </w:rPr>
            </w:pPr>
            <w:r>
              <w:rPr>
                <w:rFonts w:hint="eastAsia" w:ascii="仿宋_GB2312"/>
                <w:sz w:val="24"/>
              </w:rPr>
              <w:t>二</w:t>
            </w:r>
          </w:p>
        </w:tc>
        <w:tc>
          <w:tcPr>
            <w:tcW w:w="1596" w:type="dxa"/>
            <w:vMerge w:val="restart"/>
            <w:vAlign w:val="center"/>
          </w:tcPr>
          <w:p>
            <w:pPr>
              <w:jc w:val="center"/>
              <w:rPr>
                <w:rFonts w:ascii="仿宋_GB2312"/>
                <w:sz w:val="24"/>
              </w:rPr>
            </w:pPr>
            <w:r>
              <w:rPr>
                <w:rFonts w:hint="eastAsia" w:ascii="仿宋_GB2312"/>
                <w:sz w:val="24"/>
              </w:rPr>
              <w:t>车辆设备</w:t>
            </w:r>
          </w:p>
        </w:tc>
        <w:tc>
          <w:tcPr>
            <w:tcW w:w="3366" w:type="dxa"/>
            <w:vAlign w:val="center"/>
          </w:tcPr>
          <w:p>
            <w:pPr>
              <w:jc w:val="center"/>
              <w:rPr>
                <w:rFonts w:hint="eastAsia" w:ascii="仿宋_GB2312"/>
                <w:sz w:val="24"/>
              </w:rPr>
            </w:pPr>
            <w:r>
              <w:rPr>
                <w:rFonts w:hint="eastAsia" w:ascii="仿宋_GB2312"/>
                <w:sz w:val="24"/>
              </w:rPr>
              <w:t>车辆严禁挂靠，必须在服务区域内作业。</w:t>
            </w:r>
          </w:p>
        </w:tc>
        <w:tc>
          <w:tcPr>
            <w:tcW w:w="3618" w:type="dxa"/>
            <w:vAlign w:val="center"/>
          </w:tcPr>
          <w:p>
            <w:pPr>
              <w:jc w:val="center"/>
              <w:rPr>
                <w:rFonts w:ascii="仿宋_GB2312"/>
                <w:sz w:val="24"/>
              </w:rPr>
            </w:pPr>
            <w:r>
              <w:rPr>
                <w:rFonts w:hint="eastAsia" w:ascii="仿宋_GB2312"/>
                <w:sz w:val="24"/>
              </w:rPr>
              <w:t>挂靠车辆和跨区域作业，每发现一辆扣2分。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6" w:type="dxa"/>
            <w:vMerge w:val="continue"/>
            <w:vAlign w:val="center"/>
          </w:tcPr>
          <w:p>
            <w:pPr>
              <w:jc w:val="center"/>
              <w:rPr>
                <w:rFonts w:hint="eastAsia" w:ascii="仿宋_GB2312"/>
                <w:sz w:val="24"/>
              </w:rPr>
            </w:pPr>
          </w:p>
        </w:tc>
        <w:tc>
          <w:tcPr>
            <w:tcW w:w="1596" w:type="dxa"/>
            <w:vMerge w:val="continue"/>
            <w:vAlign w:val="center"/>
          </w:tcPr>
          <w:p>
            <w:pPr>
              <w:jc w:val="center"/>
              <w:rPr>
                <w:rFonts w:hint="eastAsia" w:ascii="仿宋_GB2312"/>
                <w:sz w:val="24"/>
              </w:rPr>
            </w:pPr>
          </w:p>
        </w:tc>
        <w:tc>
          <w:tcPr>
            <w:tcW w:w="3366" w:type="dxa"/>
            <w:vAlign w:val="center"/>
          </w:tcPr>
          <w:p>
            <w:pPr>
              <w:jc w:val="center"/>
              <w:rPr>
                <w:rFonts w:hint="eastAsia" w:ascii="仿宋_GB2312"/>
                <w:sz w:val="24"/>
              </w:rPr>
            </w:pPr>
            <w:r>
              <w:rPr>
                <w:rFonts w:hint="eastAsia" w:ascii="仿宋_GB2312"/>
                <w:sz w:val="24"/>
              </w:rPr>
              <w:t>车辆变化情况及时报各区环卫主管部门备案登记。</w:t>
            </w:r>
          </w:p>
        </w:tc>
        <w:tc>
          <w:tcPr>
            <w:tcW w:w="3618" w:type="dxa"/>
            <w:vAlign w:val="center"/>
          </w:tcPr>
          <w:p>
            <w:pPr>
              <w:jc w:val="center"/>
              <w:rPr>
                <w:rFonts w:hint="eastAsia" w:ascii="仿宋_GB2312"/>
                <w:sz w:val="24"/>
              </w:rPr>
            </w:pPr>
            <w:r>
              <w:rPr>
                <w:rFonts w:hint="eastAsia" w:ascii="仿宋_GB2312"/>
                <w:sz w:val="24"/>
              </w:rPr>
              <w:t>未及时备案登记的，每发现一辆扣2分。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6" w:type="dxa"/>
            <w:vMerge w:val="continue"/>
            <w:vAlign w:val="center"/>
          </w:tcPr>
          <w:p>
            <w:pPr>
              <w:jc w:val="center"/>
              <w:rPr>
                <w:rFonts w:ascii="仿宋_GB2312"/>
                <w:sz w:val="24"/>
              </w:rPr>
            </w:pPr>
          </w:p>
        </w:tc>
        <w:tc>
          <w:tcPr>
            <w:tcW w:w="1596" w:type="dxa"/>
            <w:vMerge w:val="continue"/>
            <w:vAlign w:val="center"/>
          </w:tcPr>
          <w:p>
            <w:pPr>
              <w:jc w:val="center"/>
              <w:rPr>
                <w:rFonts w:ascii="仿宋_GB2312"/>
                <w:sz w:val="24"/>
              </w:rPr>
            </w:pPr>
          </w:p>
        </w:tc>
        <w:tc>
          <w:tcPr>
            <w:tcW w:w="3366" w:type="dxa"/>
            <w:vAlign w:val="center"/>
          </w:tcPr>
          <w:p>
            <w:pPr>
              <w:jc w:val="center"/>
              <w:rPr>
                <w:rFonts w:ascii="仿宋_GB2312"/>
                <w:sz w:val="24"/>
              </w:rPr>
            </w:pPr>
            <w:r>
              <w:rPr>
                <w:rFonts w:ascii="仿宋_GB2312"/>
                <w:sz w:val="24"/>
              </w:rPr>
              <w:t>生活垃圾分类密闭运输专用车辆，</w:t>
            </w:r>
            <w:r>
              <w:rPr>
                <w:rFonts w:hint="eastAsia" w:ascii="仿宋_GB2312"/>
                <w:sz w:val="24"/>
              </w:rPr>
              <w:t>严禁私自改装。</w:t>
            </w:r>
          </w:p>
        </w:tc>
        <w:tc>
          <w:tcPr>
            <w:tcW w:w="3618" w:type="dxa"/>
            <w:vAlign w:val="center"/>
          </w:tcPr>
          <w:p>
            <w:pPr>
              <w:jc w:val="center"/>
              <w:rPr>
                <w:rFonts w:ascii="仿宋_GB2312"/>
                <w:sz w:val="24"/>
              </w:rPr>
            </w:pPr>
            <w:r>
              <w:rPr>
                <w:rFonts w:hint="eastAsia" w:ascii="仿宋_GB2312"/>
                <w:sz w:val="24"/>
              </w:rPr>
              <w:t>非专用车辆或私自改装，每发现一辆扣2分。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6" w:type="dxa"/>
            <w:vMerge w:val="continue"/>
            <w:vAlign w:val="center"/>
          </w:tcPr>
          <w:p>
            <w:pPr>
              <w:jc w:val="center"/>
              <w:rPr>
                <w:rFonts w:ascii="仿宋_GB2312"/>
                <w:sz w:val="24"/>
              </w:rPr>
            </w:pPr>
          </w:p>
        </w:tc>
        <w:tc>
          <w:tcPr>
            <w:tcW w:w="1596" w:type="dxa"/>
            <w:vMerge w:val="continue"/>
            <w:vAlign w:val="center"/>
          </w:tcPr>
          <w:p>
            <w:pPr>
              <w:jc w:val="center"/>
              <w:rPr>
                <w:rFonts w:ascii="仿宋_GB2312"/>
                <w:sz w:val="24"/>
              </w:rPr>
            </w:pPr>
          </w:p>
        </w:tc>
        <w:tc>
          <w:tcPr>
            <w:tcW w:w="3366" w:type="dxa"/>
            <w:vAlign w:val="center"/>
          </w:tcPr>
          <w:p>
            <w:pPr>
              <w:jc w:val="center"/>
              <w:rPr>
                <w:rFonts w:ascii="仿宋_GB2312"/>
                <w:sz w:val="24"/>
              </w:rPr>
            </w:pPr>
            <w:r>
              <w:rPr>
                <w:rFonts w:hint="eastAsia" w:ascii="仿宋_GB2312"/>
                <w:sz w:val="24"/>
              </w:rPr>
              <w:t>运输车辆</w:t>
            </w:r>
            <w:r>
              <w:rPr>
                <w:rFonts w:ascii="仿宋_GB2312"/>
                <w:sz w:val="24"/>
              </w:rPr>
              <w:t>按照垃圾分类要求</w:t>
            </w:r>
            <w:r>
              <w:rPr>
                <w:rFonts w:hint="eastAsia" w:ascii="仿宋_GB2312"/>
                <w:sz w:val="24"/>
              </w:rPr>
              <w:t>，</w:t>
            </w:r>
            <w:r>
              <w:rPr>
                <w:rFonts w:ascii="仿宋_GB2312"/>
                <w:sz w:val="24"/>
              </w:rPr>
              <w:t>统一喷印</w:t>
            </w:r>
            <w:r>
              <w:rPr>
                <w:rFonts w:hint="eastAsia" w:ascii="仿宋_GB2312"/>
                <w:sz w:val="24"/>
              </w:rPr>
              <w:t>单位</w:t>
            </w:r>
            <w:r>
              <w:rPr>
                <w:rFonts w:ascii="仿宋_GB2312"/>
                <w:sz w:val="24"/>
              </w:rPr>
              <w:t>名称、</w:t>
            </w:r>
            <w:r>
              <w:rPr>
                <w:rFonts w:hint="eastAsia" w:ascii="仿宋_GB2312"/>
                <w:sz w:val="24"/>
              </w:rPr>
              <w:t>车辆</w:t>
            </w:r>
            <w:r>
              <w:rPr>
                <w:rFonts w:ascii="仿宋_GB2312"/>
                <w:sz w:val="24"/>
              </w:rPr>
              <w:t>编号</w:t>
            </w:r>
            <w:r>
              <w:rPr>
                <w:rFonts w:hint="eastAsia" w:ascii="仿宋_GB2312"/>
                <w:sz w:val="24"/>
              </w:rPr>
              <w:t>、</w:t>
            </w:r>
            <w:r>
              <w:rPr>
                <w:rFonts w:ascii="仿宋_GB2312"/>
                <w:sz w:val="24"/>
              </w:rPr>
              <w:t>分类</w:t>
            </w:r>
            <w:r>
              <w:rPr>
                <w:rFonts w:hint="eastAsia" w:ascii="仿宋_GB2312"/>
                <w:sz w:val="24"/>
              </w:rPr>
              <w:t>标志，粘贴反光标贴，安装具有反光功能的放大号牌。</w:t>
            </w:r>
          </w:p>
        </w:tc>
        <w:tc>
          <w:tcPr>
            <w:tcW w:w="3618" w:type="dxa"/>
            <w:vAlign w:val="center"/>
          </w:tcPr>
          <w:p>
            <w:pPr>
              <w:jc w:val="center"/>
              <w:rPr>
                <w:rFonts w:ascii="仿宋_GB2312"/>
                <w:sz w:val="24"/>
              </w:rPr>
            </w:pPr>
            <w:r>
              <w:rPr>
                <w:rFonts w:hint="eastAsia" w:ascii="仿宋_GB2312"/>
                <w:sz w:val="24"/>
              </w:rPr>
              <w:t>未</w:t>
            </w:r>
            <w:r>
              <w:rPr>
                <w:rFonts w:ascii="仿宋_GB2312"/>
                <w:sz w:val="24"/>
              </w:rPr>
              <w:t>统一喷印</w:t>
            </w:r>
            <w:r>
              <w:rPr>
                <w:rFonts w:hint="eastAsia" w:ascii="仿宋_GB2312"/>
                <w:sz w:val="24"/>
              </w:rPr>
              <w:t>单位</w:t>
            </w:r>
            <w:r>
              <w:rPr>
                <w:rFonts w:ascii="仿宋_GB2312"/>
                <w:sz w:val="24"/>
              </w:rPr>
              <w:t>名称、</w:t>
            </w:r>
            <w:r>
              <w:rPr>
                <w:rFonts w:hint="eastAsia" w:ascii="仿宋_GB2312"/>
                <w:sz w:val="24"/>
              </w:rPr>
              <w:t>车辆</w:t>
            </w:r>
            <w:r>
              <w:rPr>
                <w:rFonts w:ascii="仿宋_GB2312"/>
                <w:sz w:val="24"/>
              </w:rPr>
              <w:t>编号</w:t>
            </w:r>
            <w:r>
              <w:rPr>
                <w:rFonts w:hint="eastAsia" w:ascii="仿宋_GB2312"/>
                <w:sz w:val="24"/>
              </w:rPr>
              <w:t>、</w:t>
            </w:r>
            <w:r>
              <w:rPr>
                <w:rFonts w:ascii="仿宋_GB2312"/>
                <w:sz w:val="24"/>
              </w:rPr>
              <w:t>分类</w:t>
            </w:r>
            <w:r>
              <w:rPr>
                <w:rFonts w:hint="eastAsia" w:ascii="仿宋_GB2312"/>
                <w:sz w:val="24"/>
              </w:rPr>
              <w:t>标志，粘贴反光标贴，安装具有反光功能的放大号牌的，每发现一辆扣1分。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6" w:type="dxa"/>
            <w:vMerge w:val="continue"/>
            <w:vAlign w:val="center"/>
          </w:tcPr>
          <w:p>
            <w:pPr>
              <w:jc w:val="center"/>
              <w:rPr>
                <w:rFonts w:ascii="仿宋_GB2312"/>
                <w:sz w:val="24"/>
              </w:rPr>
            </w:pPr>
          </w:p>
        </w:tc>
        <w:tc>
          <w:tcPr>
            <w:tcW w:w="1596" w:type="dxa"/>
            <w:vMerge w:val="continue"/>
            <w:vAlign w:val="center"/>
          </w:tcPr>
          <w:p>
            <w:pPr>
              <w:jc w:val="center"/>
              <w:rPr>
                <w:rFonts w:ascii="仿宋_GB2312"/>
                <w:sz w:val="24"/>
              </w:rPr>
            </w:pPr>
          </w:p>
        </w:tc>
        <w:tc>
          <w:tcPr>
            <w:tcW w:w="3366" w:type="dxa"/>
            <w:vAlign w:val="center"/>
          </w:tcPr>
          <w:p>
            <w:pPr>
              <w:jc w:val="center"/>
              <w:rPr>
                <w:rFonts w:ascii="仿宋_GB2312"/>
                <w:sz w:val="24"/>
              </w:rPr>
            </w:pPr>
            <w:r>
              <w:rPr>
                <w:rFonts w:hint="eastAsia" w:ascii="仿宋_GB2312"/>
                <w:sz w:val="24"/>
              </w:rPr>
              <w:t>安装符合国家标准的卫星定位系统、行车及装卸记录仪等设备，相应数据信息接入金华市垃圾分类智慧监管平台。</w:t>
            </w:r>
          </w:p>
        </w:tc>
        <w:tc>
          <w:tcPr>
            <w:tcW w:w="3618" w:type="dxa"/>
            <w:vAlign w:val="center"/>
          </w:tcPr>
          <w:p>
            <w:pPr>
              <w:jc w:val="center"/>
              <w:rPr>
                <w:rFonts w:ascii="仿宋_GB2312"/>
                <w:sz w:val="24"/>
              </w:rPr>
            </w:pPr>
            <w:r>
              <w:rPr>
                <w:rFonts w:hint="eastAsia" w:ascii="仿宋_GB2312"/>
                <w:sz w:val="24"/>
              </w:rPr>
              <w:t>未安装卫星定位系统、行车及装卸记录仪的，每发现一辆扣1分；未接入金华市垃圾分类智慧监管平台，每发现一辆扣2分。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6" w:type="dxa"/>
            <w:vMerge w:val="restart"/>
            <w:vAlign w:val="center"/>
          </w:tcPr>
          <w:p>
            <w:pPr>
              <w:jc w:val="center"/>
              <w:rPr>
                <w:rFonts w:ascii="仿宋_GB2312"/>
                <w:sz w:val="24"/>
              </w:rPr>
            </w:pPr>
            <w:r>
              <w:rPr>
                <w:rFonts w:hint="eastAsia" w:ascii="仿宋_GB2312"/>
                <w:sz w:val="24"/>
              </w:rPr>
              <w:t>三</w:t>
            </w:r>
          </w:p>
        </w:tc>
        <w:tc>
          <w:tcPr>
            <w:tcW w:w="1596" w:type="dxa"/>
            <w:vMerge w:val="restart"/>
            <w:vAlign w:val="center"/>
          </w:tcPr>
          <w:p>
            <w:pPr>
              <w:jc w:val="center"/>
              <w:rPr>
                <w:rFonts w:ascii="仿宋_GB2312"/>
                <w:sz w:val="24"/>
              </w:rPr>
            </w:pPr>
            <w:r>
              <w:rPr>
                <w:rFonts w:hint="eastAsia" w:ascii="仿宋_GB2312"/>
                <w:sz w:val="24"/>
              </w:rPr>
              <w:t>运行作业</w:t>
            </w:r>
          </w:p>
        </w:tc>
        <w:tc>
          <w:tcPr>
            <w:tcW w:w="3366" w:type="dxa"/>
            <w:vAlign w:val="center"/>
          </w:tcPr>
          <w:p>
            <w:pPr>
              <w:jc w:val="center"/>
              <w:rPr>
                <w:rFonts w:ascii="仿宋_GB2312"/>
                <w:sz w:val="24"/>
              </w:rPr>
            </w:pPr>
            <w:r>
              <w:rPr>
                <w:rFonts w:hint="eastAsia" w:ascii="仿宋_GB2312"/>
                <w:sz w:val="24"/>
              </w:rPr>
              <w:t>按规定时间、路线收集运输所属责任范围内的垃圾，做到不漏点、不漏倒、不混装，做到垃圾日产日清，不堆积。</w:t>
            </w:r>
          </w:p>
        </w:tc>
        <w:tc>
          <w:tcPr>
            <w:tcW w:w="3618" w:type="dxa"/>
            <w:vAlign w:val="center"/>
          </w:tcPr>
          <w:p>
            <w:pPr>
              <w:jc w:val="center"/>
              <w:rPr>
                <w:rFonts w:ascii="仿宋_GB2312"/>
                <w:sz w:val="24"/>
              </w:rPr>
            </w:pPr>
            <w:r>
              <w:rPr>
                <w:rFonts w:hint="eastAsia" w:ascii="仿宋_GB2312"/>
                <w:sz w:val="24"/>
              </w:rPr>
              <w:t>未按规定时间、路线收集运输所属责任范围内垃圾的，每发现一车次扣0.5分；</w:t>
            </w:r>
          </w:p>
          <w:p>
            <w:pPr>
              <w:jc w:val="center"/>
              <w:rPr>
                <w:rFonts w:ascii="仿宋_GB2312"/>
                <w:sz w:val="24"/>
              </w:rPr>
            </w:pPr>
            <w:r>
              <w:rPr>
                <w:rFonts w:hint="eastAsia" w:ascii="仿宋_GB2312"/>
                <w:sz w:val="24"/>
              </w:rPr>
              <w:t>收运车辆未作业做到不漏点、不漏倒、不混装的，每项扣0.5分；</w:t>
            </w:r>
          </w:p>
          <w:p>
            <w:pPr>
              <w:jc w:val="center"/>
              <w:rPr>
                <w:rFonts w:ascii="仿宋_GB2312"/>
                <w:sz w:val="24"/>
              </w:rPr>
            </w:pPr>
            <w:r>
              <w:rPr>
                <w:rFonts w:hint="eastAsia" w:ascii="仿宋_GB2312"/>
                <w:sz w:val="24"/>
              </w:rPr>
              <w:t>垃圾集收点未做到垃圾日产日清，有堆积，每发现一次扣1分。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6" w:type="dxa"/>
            <w:vMerge w:val="continue"/>
            <w:vAlign w:val="center"/>
          </w:tcPr>
          <w:p>
            <w:pPr>
              <w:jc w:val="center"/>
              <w:rPr>
                <w:rFonts w:ascii="仿宋_GB2312"/>
                <w:sz w:val="24"/>
              </w:rPr>
            </w:pPr>
          </w:p>
        </w:tc>
        <w:tc>
          <w:tcPr>
            <w:tcW w:w="1596" w:type="dxa"/>
            <w:vMerge w:val="continue"/>
            <w:vAlign w:val="center"/>
          </w:tcPr>
          <w:p>
            <w:pPr>
              <w:jc w:val="center"/>
              <w:rPr>
                <w:rFonts w:ascii="仿宋_GB2312"/>
                <w:sz w:val="24"/>
              </w:rPr>
            </w:pPr>
          </w:p>
        </w:tc>
        <w:tc>
          <w:tcPr>
            <w:tcW w:w="3366" w:type="dxa"/>
            <w:vAlign w:val="center"/>
          </w:tcPr>
          <w:p>
            <w:pPr>
              <w:jc w:val="center"/>
              <w:rPr>
                <w:rFonts w:ascii="仿宋_GB2312"/>
                <w:sz w:val="24"/>
              </w:rPr>
            </w:pPr>
            <w:r>
              <w:rPr>
                <w:rFonts w:hint="eastAsia" w:ascii="仿宋_GB2312"/>
                <w:sz w:val="24"/>
              </w:rPr>
              <w:t>做好车辆外观整洁，密闭化运输，做到无垃圾抛洒、无污水滴漏，车箱外无吊挂。</w:t>
            </w:r>
          </w:p>
        </w:tc>
        <w:tc>
          <w:tcPr>
            <w:tcW w:w="3618" w:type="dxa"/>
            <w:vAlign w:val="center"/>
          </w:tcPr>
          <w:p>
            <w:pPr>
              <w:jc w:val="center"/>
              <w:rPr>
                <w:rFonts w:ascii="仿宋_GB2312"/>
                <w:sz w:val="24"/>
              </w:rPr>
            </w:pPr>
            <w:r>
              <w:rPr>
                <w:rFonts w:hint="eastAsia" w:ascii="仿宋_GB2312"/>
                <w:sz w:val="24"/>
              </w:rPr>
              <w:t>未密闭化运输，每发现一次扣2分；车辆外观不整洁，车上外挂或跑冒滴漏，每发现一次扣1分。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6" w:type="dxa"/>
            <w:vMerge w:val="continue"/>
            <w:vAlign w:val="center"/>
          </w:tcPr>
          <w:p>
            <w:pPr>
              <w:jc w:val="center"/>
              <w:rPr>
                <w:rFonts w:ascii="仿宋_GB2312"/>
                <w:sz w:val="24"/>
              </w:rPr>
            </w:pPr>
          </w:p>
        </w:tc>
        <w:tc>
          <w:tcPr>
            <w:tcW w:w="1596" w:type="dxa"/>
            <w:vMerge w:val="continue"/>
            <w:vAlign w:val="center"/>
          </w:tcPr>
          <w:p>
            <w:pPr>
              <w:jc w:val="center"/>
              <w:rPr>
                <w:rFonts w:ascii="仿宋_GB2312"/>
                <w:sz w:val="24"/>
              </w:rPr>
            </w:pPr>
          </w:p>
        </w:tc>
        <w:tc>
          <w:tcPr>
            <w:tcW w:w="3366" w:type="dxa"/>
            <w:vAlign w:val="center"/>
          </w:tcPr>
          <w:p>
            <w:pPr>
              <w:jc w:val="center"/>
              <w:rPr>
                <w:rFonts w:ascii="仿宋_GB2312"/>
                <w:sz w:val="24"/>
              </w:rPr>
            </w:pPr>
            <w:r>
              <w:rPr>
                <w:rFonts w:hint="eastAsia" w:ascii="仿宋_GB2312"/>
                <w:sz w:val="24"/>
              </w:rPr>
              <w:t>服从转运站、垃圾填埋场、垃圾焚烧厂的管理。</w:t>
            </w:r>
          </w:p>
        </w:tc>
        <w:tc>
          <w:tcPr>
            <w:tcW w:w="3618" w:type="dxa"/>
            <w:vAlign w:val="center"/>
          </w:tcPr>
          <w:p>
            <w:pPr>
              <w:jc w:val="center"/>
              <w:rPr>
                <w:rFonts w:ascii="仿宋_GB2312"/>
                <w:sz w:val="24"/>
              </w:rPr>
            </w:pPr>
            <w:r>
              <w:rPr>
                <w:rFonts w:hint="eastAsia" w:ascii="仿宋_GB2312"/>
                <w:sz w:val="24"/>
              </w:rPr>
              <w:t>未按现场管理人员要求装载、倾倒垃圾的，每次扣2分。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6" w:type="dxa"/>
            <w:vAlign w:val="center"/>
          </w:tcPr>
          <w:p>
            <w:pPr>
              <w:jc w:val="center"/>
              <w:rPr>
                <w:rFonts w:ascii="仿宋_GB2312"/>
                <w:sz w:val="24"/>
              </w:rPr>
            </w:pPr>
            <w:r>
              <w:rPr>
                <w:rFonts w:hint="eastAsia" w:ascii="仿宋_GB2312"/>
                <w:sz w:val="24"/>
              </w:rPr>
              <w:t>四</w:t>
            </w:r>
          </w:p>
        </w:tc>
        <w:tc>
          <w:tcPr>
            <w:tcW w:w="1596" w:type="dxa"/>
            <w:vAlign w:val="center"/>
          </w:tcPr>
          <w:p>
            <w:pPr>
              <w:jc w:val="center"/>
              <w:rPr>
                <w:rFonts w:ascii="仿宋_GB2312"/>
                <w:sz w:val="24"/>
              </w:rPr>
            </w:pPr>
            <w:r>
              <w:rPr>
                <w:rFonts w:hint="eastAsia" w:ascii="仿宋_GB2312"/>
                <w:sz w:val="24"/>
              </w:rPr>
              <w:t>应急抢险</w:t>
            </w:r>
          </w:p>
        </w:tc>
        <w:tc>
          <w:tcPr>
            <w:tcW w:w="3366" w:type="dxa"/>
            <w:vAlign w:val="center"/>
          </w:tcPr>
          <w:p>
            <w:pPr>
              <w:jc w:val="center"/>
              <w:rPr>
                <w:rFonts w:ascii="仿宋_GB2312"/>
                <w:sz w:val="24"/>
              </w:rPr>
            </w:pPr>
            <w:r>
              <w:rPr>
                <w:rFonts w:hint="eastAsia" w:ascii="仿宋_GB2312"/>
                <w:sz w:val="24"/>
              </w:rPr>
              <w:t>事故应急预案和事故抢险抢修预案。</w:t>
            </w:r>
          </w:p>
        </w:tc>
        <w:tc>
          <w:tcPr>
            <w:tcW w:w="3618" w:type="dxa"/>
            <w:vAlign w:val="center"/>
          </w:tcPr>
          <w:p>
            <w:pPr>
              <w:jc w:val="center"/>
              <w:rPr>
                <w:rFonts w:ascii="仿宋_GB2312"/>
                <w:sz w:val="24"/>
              </w:rPr>
            </w:pPr>
            <w:r>
              <w:rPr>
                <w:rFonts w:hint="eastAsia" w:ascii="仿宋_GB2312"/>
                <w:sz w:val="24"/>
              </w:rPr>
              <w:t>未制定事故应急预案和事故抢险抢修预案的，每项扣2分。</w:t>
            </w:r>
          </w:p>
        </w:tc>
      </w:tr>
    </w:tbl>
    <w:p>
      <w:pPr>
        <w:spacing w:line="220" w:lineRule="atLeast"/>
        <w:ind w:firstLine="512" w:firstLineChars="200"/>
        <w:rPr>
          <w:rFonts w:hint="eastAsia"/>
          <w:sz w:val="28"/>
          <w:szCs w:val="28"/>
        </w:rPr>
      </w:pPr>
    </w:p>
    <w:p>
      <w:pPr>
        <w:spacing w:line="220" w:lineRule="atLeast"/>
        <w:rPr>
          <w:rFonts w:hint="eastAsia" w:ascii="黑体" w:hAnsi="黑体" w:eastAsia="黑体" w:cs="黑体"/>
          <w:sz w:val="28"/>
          <w:szCs w:val="28"/>
        </w:rPr>
      </w:pPr>
      <w:r>
        <w:rPr>
          <w:rFonts w:hint="eastAsia" w:ascii="黑体" w:hAnsi="黑体" w:eastAsia="黑体" w:cs="黑体"/>
          <w:sz w:val="28"/>
          <w:szCs w:val="28"/>
        </w:rPr>
        <w:t>附件2</w:t>
      </w:r>
    </w:p>
    <w:p>
      <w:pPr>
        <w:spacing w:line="220" w:lineRule="atLeast"/>
        <w:jc w:val="center"/>
        <w:rPr>
          <w:rFonts w:hint="eastAsia" w:ascii="黑体" w:hAnsi="黑体" w:eastAsia="黑体" w:cs="黑体"/>
          <w:szCs w:val="32"/>
        </w:rPr>
      </w:pPr>
      <w:r>
        <w:rPr>
          <w:rFonts w:hint="eastAsia" w:ascii="黑体" w:hAnsi="黑体" w:eastAsia="黑体" w:cs="黑体"/>
          <w:szCs w:val="32"/>
        </w:rPr>
        <w:t>生活垃圾分类标志设置规则</w:t>
      </w:r>
    </w:p>
    <w:p>
      <w:pPr>
        <w:spacing w:line="220" w:lineRule="atLeast"/>
        <w:ind w:firstLine="592" w:firstLineChars="200"/>
        <w:rPr>
          <w:sz w:val="28"/>
          <w:szCs w:val="28"/>
        </w:rPr>
      </w:pPr>
      <w:r>
        <w:rPr>
          <w:rFonts w:hint="eastAsia" w:ascii="仿宋_GB2312" w:hAnsi="Tahoma"/>
          <w:szCs w:val="32"/>
        </w:rPr>
        <w:t>以《生活垃圾分类标志》（GB/T19095-2019）为主，</w:t>
      </w:r>
      <w:r>
        <w:rPr>
          <w:rFonts w:hint="eastAsia" w:ascii="仿宋_GB2312"/>
          <w:szCs w:val="32"/>
        </w:rPr>
        <w:t>结合</w:t>
      </w:r>
      <w:r>
        <w:rPr>
          <w:rFonts w:hint="eastAsia" w:ascii="仿宋_GB2312" w:hAnsi="Tahoma"/>
          <w:szCs w:val="32"/>
        </w:rPr>
        <w:t>《城镇生活垃圾分类标志》（DB33/T 1166-2019）。</w:t>
      </w:r>
    </w:p>
    <w:p>
      <w:pPr>
        <w:spacing w:line="220" w:lineRule="atLeast"/>
        <w:jc w:val="center"/>
      </w:pPr>
      <w:r>
        <w:drawing>
          <wp:inline distT="0" distB="0" distL="114300" distR="114300">
            <wp:extent cx="5189855" cy="6155055"/>
            <wp:effectExtent l="0" t="0" r="6985" b="1905"/>
            <wp:docPr id="2" name="图片 1" descr="C:\Users\123\AppData\Local\Temp\15870254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123\AppData\Local\Temp\1587025448(1).png"/>
                    <pic:cNvPicPr>
                      <a:picLocks noChangeAspect="1"/>
                    </pic:cNvPicPr>
                  </pic:nvPicPr>
                  <pic:blipFill>
                    <a:blip r:embed="rId4"/>
                    <a:stretch>
                      <a:fillRect/>
                    </a:stretch>
                  </pic:blipFill>
                  <pic:spPr>
                    <a:xfrm>
                      <a:off x="0" y="0"/>
                      <a:ext cx="5189855" cy="6155055"/>
                    </a:xfrm>
                    <a:prstGeom prst="rect">
                      <a:avLst/>
                    </a:prstGeom>
                    <a:noFill/>
                    <a:ln w="9525">
                      <a:noFill/>
                    </a:ln>
                  </pic:spPr>
                </pic:pic>
              </a:graphicData>
            </a:graphic>
          </wp:inline>
        </w:drawing>
      </w:r>
    </w:p>
    <w:p>
      <w:pPr>
        <w:tabs>
          <w:tab w:val="left" w:pos="3555"/>
        </w:tabs>
        <w:jc w:val="center"/>
      </w:pPr>
      <w:r>
        <w:drawing>
          <wp:inline distT="0" distB="0" distL="114300" distR="114300">
            <wp:extent cx="5392420" cy="3450590"/>
            <wp:effectExtent l="0" t="0" r="2540" b="8890"/>
            <wp:docPr id="1" name="图片 2" descr="15905426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590542636(1)"/>
                    <pic:cNvPicPr>
                      <a:picLocks noChangeAspect="1"/>
                    </pic:cNvPicPr>
                  </pic:nvPicPr>
                  <pic:blipFill>
                    <a:blip r:embed="rId5"/>
                    <a:stretch>
                      <a:fillRect/>
                    </a:stretch>
                  </pic:blipFill>
                  <pic:spPr>
                    <a:xfrm>
                      <a:off x="0" y="0"/>
                      <a:ext cx="5392420" cy="3450590"/>
                    </a:xfrm>
                    <a:prstGeom prst="rect">
                      <a:avLst/>
                    </a:prstGeom>
                    <a:noFill/>
                    <a:ln w="9525">
                      <a:noFill/>
                    </a:ln>
                  </pic:spPr>
                </pic:pic>
              </a:graphicData>
            </a:graphic>
          </wp:inline>
        </w:drawing>
      </w:r>
      <w:r>
        <w:drawing>
          <wp:inline distT="0" distB="0" distL="114300" distR="114300">
            <wp:extent cx="6036945" cy="3625850"/>
            <wp:effectExtent l="0" t="0" r="13335" b="1270"/>
            <wp:docPr id="6" name="图片 3" descr="15905426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1590542661(1)"/>
                    <pic:cNvPicPr>
                      <a:picLocks noChangeAspect="1"/>
                    </pic:cNvPicPr>
                  </pic:nvPicPr>
                  <pic:blipFill>
                    <a:blip r:embed="rId6"/>
                    <a:stretch>
                      <a:fillRect/>
                    </a:stretch>
                  </pic:blipFill>
                  <pic:spPr>
                    <a:xfrm>
                      <a:off x="0" y="0"/>
                      <a:ext cx="6036945" cy="3625850"/>
                    </a:xfrm>
                    <a:prstGeom prst="rect">
                      <a:avLst/>
                    </a:prstGeom>
                    <a:noFill/>
                    <a:ln w="9525">
                      <a:noFill/>
                    </a:ln>
                  </pic:spPr>
                </pic:pic>
              </a:graphicData>
            </a:graphic>
          </wp:inline>
        </w:drawing>
      </w:r>
    </w:p>
    <w:p>
      <w:pPr>
        <w:tabs>
          <w:tab w:val="left" w:pos="3555"/>
        </w:tabs>
        <w:jc w:val="center"/>
      </w:pPr>
    </w:p>
    <w:p>
      <w:pPr>
        <w:tabs>
          <w:tab w:val="left" w:pos="3555"/>
        </w:tabs>
        <w:jc w:val="center"/>
      </w:pPr>
    </w:p>
    <w:p>
      <w:pPr>
        <w:tabs>
          <w:tab w:val="left" w:pos="3555"/>
        </w:tabs>
        <w:jc w:val="center"/>
      </w:pPr>
      <w:r>
        <w:drawing>
          <wp:inline distT="0" distB="0" distL="114300" distR="114300">
            <wp:extent cx="5616575" cy="2580640"/>
            <wp:effectExtent l="0" t="0" r="6985" b="10160"/>
            <wp:docPr id="4" name="图片 4" descr="15905427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90542731(1)"/>
                    <pic:cNvPicPr>
                      <a:picLocks noChangeAspect="1"/>
                    </pic:cNvPicPr>
                  </pic:nvPicPr>
                  <pic:blipFill>
                    <a:blip r:embed="rId7"/>
                    <a:stretch>
                      <a:fillRect/>
                    </a:stretch>
                  </pic:blipFill>
                  <pic:spPr>
                    <a:xfrm>
                      <a:off x="0" y="0"/>
                      <a:ext cx="5616575" cy="2580640"/>
                    </a:xfrm>
                    <a:prstGeom prst="rect">
                      <a:avLst/>
                    </a:prstGeom>
                    <a:noFill/>
                    <a:ln w="9525">
                      <a:noFill/>
                    </a:ln>
                  </pic:spPr>
                </pic:pic>
              </a:graphicData>
            </a:graphic>
          </wp:inline>
        </w:drawing>
      </w:r>
      <w:r>
        <w:drawing>
          <wp:inline distT="0" distB="0" distL="114300" distR="114300">
            <wp:extent cx="5612765" cy="4670425"/>
            <wp:effectExtent l="0" t="0" r="10795" b="8255"/>
            <wp:docPr id="3" name="图片 5" descr="15905427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1590542755(1)"/>
                    <pic:cNvPicPr>
                      <a:picLocks noChangeAspect="1"/>
                    </pic:cNvPicPr>
                  </pic:nvPicPr>
                  <pic:blipFill>
                    <a:blip r:embed="rId8"/>
                    <a:stretch>
                      <a:fillRect/>
                    </a:stretch>
                  </pic:blipFill>
                  <pic:spPr>
                    <a:xfrm>
                      <a:off x="0" y="0"/>
                      <a:ext cx="5612765" cy="4670425"/>
                    </a:xfrm>
                    <a:prstGeom prst="rect">
                      <a:avLst/>
                    </a:prstGeom>
                    <a:noFill/>
                    <a:ln w="9525">
                      <a:noFill/>
                    </a:ln>
                  </pic:spPr>
                </pic:pic>
              </a:graphicData>
            </a:graphic>
          </wp:inline>
        </w:drawing>
      </w:r>
    </w:p>
    <w:p>
      <w:pPr>
        <w:tabs>
          <w:tab w:val="left" w:pos="3555"/>
        </w:tabs>
        <w:jc w:val="center"/>
      </w:pPr>
    </w:p>
    <w:p>
      <w:pPr>
        <w:tabs>
          <w:tab w:val="left" w:pos="3555"/>
        </w:tabs>
      </w:pPr>
    </w:p>
    <w:p>
      <w:pPr>
        <w:tabs>
          <w:tab w:val="left" w:pos="3555"/>
        </w:tabs>
        <w:jc w:val="center"/>
      </w:pPr>
      <w:r>
        <w:rPr>
          <w:sz w:val="22"/>
        </w:rPr>
        <mc:AlternateContent>
          <mc:Choice Requires="wps">
            <w:drawing>
              <wp:anchor distT="0" distB="0" distL="114300" distR="114300" simplePos="0" relativeHeight="251658240" behindDoc="0" locked="0" layoutInCell="1" allowOverlap="1">
                <wp:simplePos x="0" y="0"/>
                <wp:positionH relativeFrom="column">
                  <wp:posOffset>3003550</wp:posOffset>
                </wp:positionH>
                <wp:positionV relativeFrom="paragraph">
                  <wp:posOffset>2286000</wp:posOffset>
                </wp:positionV>
                <wp:extent cx="765175" cy="481965"/>
                <wp:effectExtent l="0" t="0" r="12065" b="5715"/>
                <wp:wrapNone/>
                <wp:docPr id="7" name="文本框 20"/>
                <wp:cNvGraphicFramePr/>
                <a:graphic xmlns:a="http://schemas.openxmlformats.org/drawingml/2006/main">
                  <a:graphicData uri="http://schemas.microsoft.com/office/word/2010/wordprocessingShape">
                    <wps:wsp>
                      <wps:cNvSpPr txBox="1"/>
                      <wps:spPr>
                        <a:xfrm>
                          <a:off x="0" y="0"/>
                          <a:ext cx="765175" cy="481965"/>
                        </a:xfrm>
                        <a:prstGeom prst="rect">
                          <a:avLst/>
                        </a:prstGeom>
                        <a:solidFill>
                          <a:srgbClr val="404040"/>
                        </a:solidFill>
                        <a:ln w="9525">
                          <a:noFill/>
                        </a:ln>
                        <a:effectLst/>
                      </wps:spPr>
                      <wps:txbx>
                        <w:txbxContent>
                          <w:p>
                            <w:pPr>
                              <w:widowControl/>
                              <w:spacing w:line="200" w:lineRule="exact"/>
                              <w:rPr>
                                <w:rFonts w:hint="eastAsia"/>
                                <w:color w:val="FFFFFF"/>
                                <w:sz w:val="20"/>
                                <w:szCs w:val="20"/>
                              </w:rPr>
                            </w:pPr>
                            <w:r>
                              <w:rPr>
                                <w:rFonts w:hint="eastAsia"/>
                                <w:color w:val="FFFFFF"/>
                                <w:sz w:val="20"/>
                                <w:szCs w:val="20"/>
                              </w:rPr>
                              <w:t>易腐垃圾</w:t>
                            </w:r>
                          </w:p>
                          <w:p>
                            <w:pPr>
                              <w:widowControl/>
                              <w:spacing w:line="200" w:lineRule="exact"/>
                              <w:rPr>
                                <w:color w:val="FFFFFF"/>
                                <w:sz w:val="20"/>
                                <w:szCs w:val="20"/>
                              </w:rPr>
                            </w:pPr>
                            <w:r>
                              <w:rPr>
                                <w:rFonts w:hint="eastAsia"/>
                                <w:color w:val="FFFFFF"/>
                                <w:sz w:val="20"/>
                                <w:szCs w:val="20"/>
                              </w:rPr>
                              <w:t>Perishable Waste</w:t>
                            </w:r>
                          </w:p>
                          <w:p>
                            <w:pPr>
                              <w:widowControl/>
                              <w:rPr>
                                <w:rFonts w:hint="eastAsia"/>
                                <w:sz w:val="20"/>
                                <w:szCs w:val="20"/>
                              </w:rPr>
                            </w:pPr>
                          </w:p>
                        </w:txbxContent>
                      </wps:txbx>
                      <wps:bodyPr upright="1"/>
                    </wps:wsp>
                  </a:graphicData>
                </a:graphic>
              </wp:anchor>
            </w:drawing>
          </mc:Choice>
          <mc:Fallback>
            <w:pict>
              <v:shape id="文本框 20" o:spid="_x0000_s1026" o:spt="202" type="#_x0000_t202" style="position:absolute;left:0pt;margin-left:236.5pt;margin-top:180pt;height:37.95pt;width:60.25pt;z-index:251658240;mso-width-relative:page;mso-height-relative:page;" fillcolor="#404040" filled="t" stroked="f" coordsize="21600,21600" o:gfxdata="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OKxD99sAAAALAQAADwAAAAAAAAABACAAAAAiAAAAZHJzL2Rvd25yZXYueG1sUEsBAhQAFAAA&#10;AAgAh07iQGSSZHqzAQAAQAMAAA4AAAAAAAAAAQAgAAAAKgEAAGRycy9lMm9Eb2MueG1sUEsFBgAA&#10;AAAGAAYAWQEAAE8FAAAAAA==&#10;">
                <v:path/>
                <v:fill on="t" focussize="0,0"/>
                <v:stroke on="f"/>
                <v:imagedata o:title=""/>
                <o:lock v:ext="edit" aspectratio="f"/>
                <v:textbox>
                  <w:txbxContent>
                    <w:p>
                      <w:pPr>
                        <w:widowControl/>
                        <w:spacing w:line="200" w:lineRule="exact"/>
                        <w:rPr>
                          <w:rFonts w:hint="eastAsia"/>
                          <w:color w:val="FFFFFF"/>
                          <w:sz w:val="20"/>
                          <w:szCs w:val="20"/>
                        </w:rPr>
                      </w:pPr>
                      <w:r>
                        <w:rPr>
                          <w:rFonts w:hint="eastAsia"/>
                          <w:color w:val="FFFFFF"/>
                          <w:sz w:val="20"/>
                          <w:szCs w:val="20"/>
                        </w:rPr>
                        <w:t>易腐垃圾</w:t>
                      </w:r>
                    </w:p>
                    <w:p>
                      <w:pPr>
                        <w:widowControl/>
                        <w:spacing w:line="200" w:lineRule="exact"/>
                        <w:rPr>
                          <w:color w:val="FFFFFF"/>
                          <w:sz w:val="20"/>
                          <w:szCs w:val="20"/>
                        </w:rPr>
                      </w:pPr>
                      <w:r>
                        <w:rPr>
                          <w:rFonts w:hint="eastAsia"/>
                          <w:color w:val="FFFFFF"/>
                          <w:sz w:val="20"/>
                          <w:szCs w:val="20"/>
                        </w:rPr>
                        <w:t>Perishable Waste</w:t>
                      </w:r>
                    </w:p>
                    <w:p>
                      <w:pPr>
                        <w:widowControl/>
                        <w:rPr>
                          <w:rFonts w:hint="eastAsia"/>
                          <w:sz w:val="20"/>
                          <w:szCs w:val="20"/>
                        </w:rPr>
                      </w:pPr>
                    </w:p>
                  </w:txbxContent>
                </v:textbox>
              </v:shape>
            </w:pict>
          </mc:Fallback>
        </mc:AlternateContent>
      </w:r>
      <w:r>
        <w:rPr>
          <w:sz w:val="22"/>
        </w:rPr>
        <mc:AlternateContent>
          <mc:Choice Requires="wps">
            <w:drawing>
              <wp:anchor distT="0" distB="0" distL="114300" distR="114300" simplePos="0" relativeHeight="251660288" behindDoc="0" locked="0" layoutInCell="1" allowOverlap="1">
                <wp:simplePos x="0" y="0"/>
                <wp:positionH relativeFrom="column">
                  <wp:posOffset>3422650</wp:posOffset>
                </wp:positionH>
                <wp:positionV relativeFrom="paragraph">
                  <wp:posOffset>5829300</wp:posOffset>
                </wp:positionV>
                <wp:extent cx="611505" cy="230505"/>
                <wp:effectExtent l="0" t="0" r="0" b="0"/>
                <wp:wrapNone/>
                <wp:docPr id="5" name="文本框 22"/>
                <wp:cNvGraphicFramePr/>
                <a:graphic xmlns:a="http://schemas.openxmlformats.org/drawingml/2006/main">
                  <a:graphicData uri="http://schemas.microsoft.com/office/word/2010/wordprocessingShape">
                    <wps:wsp>
                      <wps:cNvSpPr txBox="1"/>
                      <wps:spPr>
                        <a:xfrm>
                          <a:off x="0" y="0"/>
                          <a:ext cx="611505" cy="230505"/>
                        </a:xfrm>
                        <a:prstGeom prst="rect">
                          <a:avLst/>
                        </a:prstGeom>
                        <a:noFill/>
                        <a:ln w="9525">
                          <a:noFill/>
                        </a:ln>
                        <a:effectLst/>
                      </wps:spPr>
                      <wps:txbx>
                        <w:txbxContent>
                          <w:p>
                            <w:pPr>
                              <w:rPr>
                                <w:rFonts w:eastAsia="微软雅黑"/>
                                <w:b/>
                                <w:bCs/>
                                <w:sz w:val="16"/>
                                <w:szCs w:val="16"/>
                              </w:rPr>
                            </w:pPr>
                            <w:r>
                              <w:rPr>
                                <w:rFonts w:hint="eastAsia"/>
                                <w:b/>
                                <w:bCs/>
                                <w:sz w:val="16"/>
                                <w:szCs w:val="16"/>
                              </w:rPr>
                              <w:t>监督电话</w:t>
                            </w:r>
                          </w:p>
                        </w:txbxContent>
                      </wps:txbx>
                      <wps:bodyPr upright="1"/>
                    </wps:wsp>
                  </a:graphicData>
                </a:graphic>
              </wp:anchor>
            </w:drawing>
          </mc:Choice>
          <mc:Fallback>
            <w:pict>
              <v:shape id="文本框 22" o:spid="_x0000_s1026" o:spt="202" type="#_x0000_t202" style="position:absolute;left:0pt;margin-left:269.5pt;margin-top:459pt;height:18.15pt;width:48.15pt;z-index:251660288;mso-width-relative:page;mso-height-relative:page;" filled="f" stroked="f" coordsize="21600,21600" o:gfxdata="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43njNkAAAALAQAADwAAAAAAAAAB&#10;ACAAAAAiAAAAZHJzL2Rvd25yZXYueG1sUEsBAhQAFAAAAAgAh07iQOZzZUOdAQAAFwMAAA4AAAAA&#10;AAAAAQAgAAAAKAEAAGRycy9lMm9Eb2MueG1sUEsFBgAAAAAGAAYAWQEAADcFAAAAAA==&#10;">
                <v:path/>
                <v:fill on="f" focussize="0,0"/>
                <v:stroke on="f"/>
                <v:imagedata o:title=""/>
                <o:lock v:ext="edit" aspectratio="f"/>
                <v:textbox>
                  <w:txbxContent>
                    <w:p>
                      <w:pPr>
                        <w:rPr>
                          <w:rFonts w:eastAsia="微软雅黑"/>
                          <w:b/>
                          <w:bCs/>
                          <w:sz w:val="16"/>
                          <w:szCs w:val="16"/>
                        </w:rPr>
                      </w:pPr>
                      <w:r>
                        <w:rPr>
                          <w:rFonts w:hint="eastAsia"/>
                          <w:b/>
                          <w:bCs/>
                          <w:sz w:val="16"/>
                          <w:szCs w:val="16"/>
                        </w:rPr>
                        <w:t>监督电话</w:t>
                      </w:r>
                    </w:p>
                  </w:txbxContent>
                </v:textbox>
              </v:shape>
            </w:pict>
          </mc:Fallback>
        </mc:AlternateContent>
      </w:r>
      <w:r>
        <w:rPr>
          <w:sz w:val="22"/>
        </w:rPr>
        <mc:AlternateContent>
          <mc:Choice Requires="wps">
            <w:drawing>
              <wp:anchor distT="0" distB="0" distL="114300" distR="114300" simplePos="0" relativeHeight="251659264" behindDoc="0" locked="0" layoutInCell="1" allowOverlap="1">
                <wp:simplePos x="0" y="0"/>
                <wp:positionH relativeFrom="column">
                  <wp:posOffset>3422650</wp:posOffset>
                </wp:positionH>
                <wp:positionV relativeFrom="paragraph">
                  <wp:posOffset>4457700</wp:posOffset>
                </wp:positionV>
                <wp:extent cx="611505" cy="230505"/>
                <wp:effectExtent l="0" t="0" r="0" b="0"/>
                <wp:wrapNone/>
                <wp:docPr id="8" name="文本框 21"/>
                <wp:cNvGraphicFramePr/>
                <a:graphic xmlns:a="http://schemas.openxmlformats.org/drawingml/2006/main">
                  <a:graphicData uri="http://schemas.microsoft.com/office/word/2010/wordprocessingShape">
                    <wps:wsp>
                      <wps:cNvSpPr txBox="1"/>
                      <wps:spPr>
                        <a:xfrm>
                          <a:off x="0" y="0"/>
                          <a:ext cx="611505" cy="230505"/>
                        </a:xfrm>
                        <a:prstGeom prst="rect">
                          <a:avLst/>
                        </a:prstGeom>
                        <a:noFill/>
                        <a:ln w="9525">
                          <a:noFill/>
                        </a:ln>
                        <a:effectLst/>
                      </wps:spPr>
                      <wps:txbx>
                        <w:txbxContent>
                          <w:p>
                            <w:pPr>
                              <w:rPr>
                                <w:rFonts w:eastAsia="微软雅黑"/>
                                <w:b/>
                                <w:bCs/>
                                <w:sz w:val="16"/>
                                <w:szCs w:val="16"/>
                              </w:rPr>
                            </w:pPr>
                            <w:r>
                              <w:rPr>
                                <w:rFonts w:hint="eastAsia"/>
                                <w:b/>
                                <w:bCs/>
                                <w:sz w:val="16"/>
                                <w:szCs w:val="16"/>
                              </w:rPr>
                              <w:t>监督电话</w:t>
                            </w:r>
                          </w:p>
                        </w:txbxContent>
                      </wps:txbx>
                      <wps:bodyPr upright="1"/>
                    </wps:wsp>
                  </a:graphicData>
                </a:graphic>
              </wp:anchor>
            </w:drawing>
          </mc:Choice>
          <mc:Fallback>
            <w:pict>
              <v:shape id="文本框 21" o:spid="_x0000_s1026" o:spt="202" type="#_x0000_t202" style="position:absolute;left:0pt;margin-left:269.5pt;margin-top:351pt;height:18.15pt;width:48.15pt;z-index:251659264;mso-width-relative:page;mso-height-relative:page;" filled="f" stroked="f" coordsize="21600,21600" o:gfxdata="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HJdx02AAAAAsBAAAPAAAAAAAAAAEA&#10;IAAAACIAAABkcnMvZG93bnJldi54bWxQSwECFAAUAAAACACHTuJADavxqJ0BAAAXAwAADgAAAAAA&#10;AAABACAAAAAnAQAAZHJzL2Uyb0RvYy54bWxQSwUGAAAAAAYABgBZAQAANgUAAAAA&#10;">
                <v:path/>
                <v:fill on="f" focussize="0,0"/>
                <v:stroke on="f"/>
                <v:imagedata o:title=""/>
                <o:lock v:ext="edit" aspectratio="f"/>
                <v:textbox>
                  <w:txbxContent>
                    <w:p>
                      <w:pPr>
                        <w:rPr>
                          <w:rFonts w:eastAsia="微软雅黑"/>
                          <w:b/>
                          <w:bCs/>
                          <w:sz w:val="16"/>
                          <w:szCs w:val="16"/>
                        </w:rPr>
                      </w:pPr>
                      <w:r>
                        <w:rPr>
                          <w:rFonts w:hint="eastAsia"/>
                          <w:b/>
                          <w:bCs/>
                          <w:sz w:val="16"/>
                          <w:szCs w:val="16"/>
                        </w:rPr>
                        <w:t>监督电话</w:t>
                      </w:r>
                    </w:p>
                  </w:txbxContent>
                </v:textbox>
              </v:shape>
            </w:pict>
          </mc:Fallback>
        </mc:AlternateContent>
      </w:r>
      <w:r>
        <w:drawing>
          <wp:inline distT="0" distB="0" distL="114300" distR="114300">
            <wp:extent cx="5130165" cy="7249795"/>
            <wp:effectExtent l="0" t="0" r="5715" b="444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9"/>
                    <a:stretch>
                      <a:fillRect/>
                    </a:stretch>
                  </pic:blipFill>
                  <pic:spPr>
                    <a:xfrm>
                      <a:off x="0" y="0"/>
                      <a:ext cx="5130165" cy="7249795"/>
                    </a:xfrm>
                    <a:prstGeom prst="rect">
                      <a:avLst/>
                    </a:prstGeom>
                    <a:noFill/>
                    <a:ln w="9525">
                      <a:noFill/>
                    </a:ln>
                  </pic:spPr>
                </pic:pic>
              </a:graphicData>
            </a:graphic>
          </wp:inline>
        </w:drawing>
      </w:r>
      <w:r>
        <w:rPr>
          <w:rFonts w:hint="eastAsia"/>
        </w:rPr>
        <w:tab/>
      </w:r>
      <w:r>
        <w:drawing>
          <wp:inline distT="0" distB="0" distL="114300" distR="114300">
            <wp:extent cx="4352925" cy="3800475"/>
            <wp:effectExtent l="0" t="0" r="5715" b="9525"/>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0"/>
                    <a:stretch>
                      <a:fillRect/>
                    </a:stretch>
                  </pic:blipFill>
                  <pic:spPr>
                    <a:xfrm>
                      <a:off x="0" y="0"/>
                      <a:ext cx="4352925" cy="3800475"/>
                    </a:xfrm>
                    <a:prstGeom prst="rect">
                      <a:avLst/>
                    </a:prstGeom>
                    <a:noFill/>
                    <a:ln w="9525">
                      <a:noFill/>
                    </a:ln>
                  </pic:spPr>
                </pic:pic>
              </a:graphicData>
            </a:graphic>
          </wp:inline>
        </w:drawing>
      </w:r>
    </w:p>
    <w:p>
      <w:pPr>
        <w:tabs>
          <w:tab w:val="left" w:pos="3555"/>
        </w:tabs>
        <w:jc w:val="center"/>
        <w:rPr>
          <w:rFonts w:hint="eastAsia" w:eastAsia="微软雅黑"/>
        </w:rPr>
      </w:pPr>
      <w:r>
        <w:rPr>
          <w:rFonts w:hint="eastAsia"/>
        </w:rPr>
        <w:t>注：车厢两侧前上角设置金华城市标志</w:t>
      </w:r>
    </w:p>
    <w:p>
      <w:pPr>
        <w:jc w:val="left"/>
        <w:rPr>
          <w:rFonts w:hint="eastAsia" w:ascii="仿宋_GB2312" w:hAnsi="Tahoma"/>
          <w:szCs w:val="32"/>
        </w:rPr>
      </w:pPr>
    </w:p>
    <w:p>
      <w:pPr>
        <w:jc w:val="left"/>
        <w:rPr>
          <w:rFonts w:hint="eastAsia" w:ascii="仿宋_GB2312" w:hAnsi="Tahoma"/>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C47BA1"/>
    <w:rsid w:val="1EC47BA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spacing w:val="-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微软雅黑" w:hAnsi="Times New Roman"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市直属机关工委</Company>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2020-05-27T02:41:00Z</dcterms:created>
  <dc:creator>童静宜</dc:creator>
  <cp:lastModifiedBy>童静宜</cp:lastModifiedBy>
  <dcterms:modified xsi:type="dcterms:W3CDTF">2020-05-27T02:42:04Z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