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附件1</w:t>
      </w:r>
    </w:p>
    <w:p>
      <w:pPr>
        <w:pStyle w:val="2"/>
        <w:jc w:val="center"/>
        <w:rPr>
          <w:rFonts w:hint="eastAsia" w:ascii="方正小标宋简体" w:hAnsi="方正小标宋简体" w:eastAsia="方正小标宋简体" w:cs="方正小标宋简体"/>
          <w:b w:val="0"/>
          <w:bCs w:val="0"/>
          <w:color w:val="auto"/>
          <w:sz w:val="28"/>
          <w:szCs w:val="28"/>
        </w:rPr>
      </w:pPr>
      <w:r>
        <w:rPr>
          <w:rFonts w:hint="eastAsia" w:ascii="方正小标宋简体" w:hAnsi="方正小标宋简体" w:eastAsia="方正小标宋简体" w:cs="方正小标宋简体"/>
          <w:color w:val="auto"/>
        </w:rPr>
        <w:t>专业技术人员继续教育操作流程</w:t>
      </w:r>
    </w:p>
    <w:p>
      <w:pPr>
        <w:pStyle w:val="10"/>
        <w:numPr>
          <w:ilvl w:val="0"/>
          <w:numId w:val="1"/>
        </w:numPr>
        <w:ind w:left="1440" w:leftChars="0" w:hanging="1440" w:firstLineChars="0"/>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注册</w:t>
      </w:r>
      <w:r>
        <w:rPr>
          <w:rFonts w:hint="eastAsia" w:ascii="黑体" w:hAnsi="黑体" w:eastAsia="黑体" w:cs="黑体"/>
          <w:b/>
          <w:bCs/>
          <w:color w:val="auto"/>
          <w:sz w:val="32"/>
          <w:szCs w:val="32"/>
          <w:lang w:val="en-US" w:eastAsia="zh-CN"/>
        </w:rPr>
        <w:t>流程</w:t>
      </w:r>
    </w:p>
    <w:p>
      <w:pPr>
        <w:pStyle w:val="10"/>
        <w:numPr>
          <w:ilvl w:val="0"/>
          <w:numId w:val="2"/>
        </w:numPr>
        <w:ind w:left="425" w:leftChars="0" w:hanging="425" w:firstLineChars="0"/>
        <w:rPr>
          <w:rStyle w:val="9"/>
          <w:rFonts w:hint="eastAsia" w:ascii="仿宋_GB2312" w:hAnsi="仿宋_GB2312" w:eastAsia="仿宋_GB2312" w:cs="仿宋_GB2312"/>
          <w:color w:val="auto"/>
          <w:sz w:val="28"/>
          <w:szCs w:val="28"/>
          <w:u w:val="none"/>
        </w:rPr>
      </w:pPr>
      <w:r>
        <w:rPr>
          <w:rFonts w:hint="eastAsia" w:ascii="仿宋_GB2312" w:hAnsi="仿宋_GB2312" w:eastAsia="仿宋_GB2312" w:cs="仿宋_GB2312"/>
          <w:color w:val="auto"/>
          <w:sz w:val="28"/>
          <w:szCs w:val="28"/>
        </w:rPr>
        <w:t>学员打开浏览器输入金华市建设技工学校网址：</w:t>
      </w:r>
      <w:r>
        <w:rPr>
          <w:rFonts w:hint="eastAsia" w:ascii="仿宋_GB2312" w:hAnsi="仿宋_GB2312" w:eastAsia="仿宋_GB2312" w:cs="仿宋_GB2312"/>
          <w:color w:val="auto"/>
          <w:sz w:val="28"/>
          <w:szCs w:val="28"/>
        </w:rPr>
        <w:br w:type="textWrapping"/>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"http://www.jhjsxx.com/" </w:instrText>
      </w:r>
      <w:r>
        <w:rPr>
          <w:rFonts w:hint="eastAsia" w:ascii="仿宋_GB2312" w:hAnsi="仿宋_GB2312" w:eastAsia="仿宋_GB2312" w:cs="仿宋_GB2312"/>
          <w:color w:val="auto"/>
        </w:rPr>
        <w:fldChar w:fldCharType="separate"/>
      </w:r>
      <w:r>
        <w:rPr>
          <w:rStyle w:val="9"/>
          <w:rFonts w:hint="eastAsia" w:ascii="仿宋_GB2312" w:hAnsi="仿宋_GB2312" w:eastAsia="仿宋_GB2312" w:cs="仿宋_GB2312"/>
        </w:rPr>
        <w:t>http://www.jhjsxx.com/</w:t>
      </w:r>
      <w:r>
        <w:rPr>
          <w:rFonts w:hint="eastAsia" w:ascii="仿宋_GB2312" w:hAnsi="仿宋_GB2312" w:eastAsia="仿宋_GB2312" w:cs="仿宋_GB2312"/>
          <w:color w:val="auto"/>
        </w:rPr>
        <w:fldChar w:fldCharType="end"/>
      </w:r>
    </w:p>
    <w:p>
      <w:pPr>
        <w:pStyle w:val="10"/>
        <w:ind w:left="0" w:leftChars="0" w:firstLine="0" w:firstLineChars="0"/>
        <w:jc w:val="center"/>
        <w:rPr>
          <w:rStyle w:val="9"/>
          <w:rFonts w:hint="eastAsia" w:ascii="仿宋_GB2312" w:hAnsi="仿宋_GB2312" w:eastAsia="仿宋_GB2312" w:cs="仿宋_GB2312"/>
          <w:color w:val="auto"/>
          <w:sz w:val="28"/>
          <w:szCs w:val="28"/>
          <w:u w:val="none"/>
        </w:rPr>
      </w:pPr>
      <w:r>
        <w:drawing>
          <wp:inline distT="0" distB="0" distL="114300" distR="114300">
            <wp:extent cx="4658360" cy="2466975"/>
            <wp:effectExtent l="0" t="0" r="889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4658360" cy="2466975"/>
                    </a:xfrm>
                    <a:prstGeom prst="rect">
                      <a:avLst/>
                    </a:prstGeom>
                    <a:noFill/>
                    <a:ln>
                      <a:noFill/>
                    </a:ln>
                  </pic:spPr>
                </pic:pic>
              </a:graphicData>
            </a:graphic>
          </wp:inline>
        </w:drawing>
      </w:r>
    </w:p>
    <w:p>
      <w:pPr>
        <w:numPr>
          <w:ilvl w:val="0"/>
          <w:numId w:val="2"/>
        </w:numPr>
        <w:ind w:left="425" w:leftChars="0" w:hanging="425"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w:t>
      </w:r>
      <w:r>
        <w:rPr>
          <w:rFonts w:hint="eastAsia" w:ascii="仿宋_GB2312" w:hAnsi="仿宋_GB2312" w:eastAsia="仿宋_GB2312" w:cs="仿宋_GB2312"/>
          <w:color w:val="auto"/>
          <w:sz w:val="28"/>
          <w:szCs w:val="28"/>
          <w:lang w:eastAsia="zh-CN"/>
        </w:rPr>
        <w:t>“在线报名”</w:t>
      </w:r>
      <w:r>
        <w:rPr>
          <w:rFonts w:hint="eastAsia" w:ascii="仿宋_GB2312" w:hAnsi="仿宋_GB2312" w:eastAsia="仿宋_GB2312" w:cs="仿宋_GB2312"/>
          <w:color w:val="auto"/>
          <w:sz w:val="28"/>
          <w:szCs w:val="28"/>
        </w:rPr>
        <w:t>模块，</w:t>
      </w:r>
      <w:r>
        <w:rPr>
          <w:rFonts w:hint="eastAsia" w:ascii="仿宋_GB2312" w:hAnsi="仿宋_GB2312" w:eastAsia="仿宋_GB2312" w:cs="仿宋_GB2312"/>
          <w:color w:val="auto"/>
          <w:sz w:val="28"/>
          <w:szCs w:val="28"/>
          <w:lang w:eastAsia="zh-CN"/>
        </w:rPr>
        <w:t>点击“职称</w:t>
      </w:r>
      <w:r>
        <w:rPr>
          <w:rFonts w:hint="eastAsia" w:ascii="仿宋_GB2312" w:hAnsi="仿宋_GB2312" w:eastAsia="仿宋_GB2312" w:cs="仿宋_GB2312"/>
          <w:color w:val="auto"/>
          <w:sz w:val="28"/>
          <w:szCs w:val="28"/>
        </w:rPr>
        <w:t>继续教育</w:t>
      </w:r>
      <w:r>
        <w:rPr>
          <w:rFonts w:hint="eastAsia" w:ascii="仿宋_GB2312" w:hAnsi="仿宋_GB2312" w:eastAsia="仿宋_GB2312" w:cs="仿宋_GB2312"/>
          <w:color w:val="auto"/>
          <w:sz w:val="28"/>
          <w:szCs w:val="28"/>
          <w:lang w:eastAsia="zh-CN"/>
        </w:rPr>
        <w:t>入口”。</w:t>
      </w:r>
    </w:p>
    <w:p>
      <w:pPr>
        <w:jc w:val="center"/>
        <w:rPr>
          <w:rFonts w:hint="eastAsia" w:ascii="仿宋_GB2312" w:hAnsi="仿宋_GB2312" w:eastAsia="仿宋_GB2312" w:cs="仿宋_GB2312"/>
          <w:color w:val="auto"/>
          <w:sz w:val="28"/>
          <w:szCs w:val="28"/>
        </w:rPr>
      </w:pPr>
      <w:r>
        <w:drawing>
          <wp:inline distT="0" distB="0" distL="114300" distR="114300">
            <wp:extent cx="3865880" cy="2384425"/>
            <wp:effectExtent l="0" t="0" r="12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865880" cy="2384425"/>
                    </a:xfrm>
                    <a:prstGeom prst="rect">
                      <a:avLst/>
                    </a:prstGeom>
                    <a:noFill/>
                    <a:ln>
                      <a:noFill/>
                    </a:ln>
                  </pic:spPr>
                </pic:pic>
              </a:graphicData>
            </a:graphic>
          </wp:inline>
        </w:drawing>
      </w:r>
    </w:p>
    <w:p>
      <w:pPr>
        <w:ind w:left="7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页面会跳转金华市建设技工学校</w:t>
      </w:r>
      <w:r>
        <w:rPr>
          <w:rFonts w:hint="eastAsia" w:ascii="仿宋_GB2312" w:hAnsi="仿宋_GB2312" w:eastAsia="仿宋_GB2312" w:cs="仿宋_GB2312"/>
          <w:color w:val="auto"/>
          <w:sz w:val="28"/>
          <w:szCs w:val="28"/>
          <w:lang w:val="en-US" w:eastAsia="zh-CN"/>
        </w:rPr>
        <w:t>继续</w:t>
      </w:r>
      <w:r>
        <w:rPr>
          <w:rFonts w:hint="eastAsia" w:ascii="仿宋_GB2312" w:hAnsi="仿宋_GB2312" w:eastAsia="仿宋_GB2312" w:cs="仿宋_GB2312"/>
          <w:color w:val="auto"/>
          <w:sz w:val="28"/>
          <w:szCs w:val="28"/>
        </w:rPr>
        <w:t>教育平台。</w:t>
      </w:r>
    </w:p>
    <w:p>
      <w:pPr>
        <w:ind w:left="72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0" distR="0">
            <wp:extent cx="4711065" cy="1510665"/>
            <wp:effectExtent l="0" t="0" r="13335"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7" cstate="print"/>
                    <a:srcRect/>
                    <a:stretch>
                      <a:fillRect/>
                    </a:stretch>
                  </pic:blipFill>
                  <pic:spPr>
                    <a:xfrm>
                      <a:off x="0" y="0"/>
                      <a:ext cx="4711065" cy="1510665"/>
                    </a:xfrm>
                    <a:prstGeom prst="rect">
                      <a:avLst/>
                    </a:prstGeom>
                    <a:noFill/>
                    <a:ln w="9525">
                      <a:noFill/>
                      <a:miter lim="800000"/>
                      <a:headEnd/>
                      <a:tailEnd/>
                    </a:ln>
                  </pic:spPr>
                </pic:pic>
              </a:graphicData>
            </a:graphic>
          </wp:inline>
        </w:drawing>
      </w:r>
    </w:p>
    <w:p>
      <w:pPr>
        <w:numPr>
          <w:ilvl w:val="0"/>
          <w:numId w:val="2"/>
        </w:numPr>
        <w:ind w:left="425" w:leftChars="0" w:hanging="425"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新学员点击“注册”，按要求填写注册信息。请牢记：</w:t>
      </w:r>
      <w:r>
        <w:rPr>
          <w:rFonts w:hint="eastAsia" w:ascii="仿宋_GB2312" w:hAnsi="仿宋_GB2312" w:eastAsia="仿宋_GB2312" w:cs="仿宋_GB2312"/>
          <w:b/>
          <w:bCs/>
          <w:color w:val="auto"/>
          <w:sz w:val="28"/>
          <w:szCs w:val="28"/>
        </w:rPr>
        <w:t>登录账号为个人身份证号，登录密码为111111</w:t>
      </w:r>
      <w:r>
        <w:rPr>
          <w:rFonts w:hint="eastAsia" w:ascii="仿宋_GB2312" w:hAnsi="仿宋_GB2312" w:eastAsia="仿宋_GB2312" w:cs="仿宋_GB2312"/>
          <w:color w:val="auto"/>
          <w:sz w:val="28"/>
          <w:szCs w:val="28"/>
        </w:rPr>
        <w:t>（请填写真实手机号，平台各步骤会有相关短信提示）</w:t>
      </w: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color w:val="auto"/>
          <w:sz w:val="28"/>
          <w:szCs w:val="28"/>
          <w:lang w:eastAsia="zh-CN"/>
        </w:rPr>
        <w:t>老学员请直接登录。</w:t>
      </w:r>
    </w:p>
    <w:p>
      <w:pPr>
        <w:pStyle w:val="10"/>
        <w:ind w:left="720" w:firstLine="0"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0" distR="0">
            <wp:extent cx="5264150" cy="1895475"/>
            <wp:effectExtent l="0" t="0" r="1270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 cstate="print"/>
                    <a:srcRect/>
                    <a:stretch>
                      <a:fillRect/>
                    </a:stretch>
                  </pic:blipFill>
                  <pic:spPr>
                    <a:xfrm>
                      <a:off x="0" y="0"/>
                      <a:ext cx="5274310" cy="1898905"/>
                    </a:xfrm>
                    <a:prstGeom prst="rect">
                      <a:avLst/>
                    </a:prstGeom>
                    <a:noFill/>
                    <a:ln w="9525">
                      <a:noFill/>
                      <a:miter lim="800000"/>
                      <a:headEnd/>
                      <a:tailEnd/>
                    </a:ln>
                  </pic:spPr>
                </pic:pic>
              </a:graphicData>
            </a:graphic>
          </wp:inline>
        </w:drawing>
      </w:r>
    </w:p>
    <w:p>
      <w:pPr>
        <w:pStyle w:val="10"/>
        <w:numPr>
          <w:ilvl w:val="0"/>
          <w:numId w:val="1"/>
        </w:numPr>
        <w:ind w:left="1440" w:leftChars="0" w:hanging="1440" w:firstLineChars="0"/>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报名</w:t>
      </w:r>
      <w:r>
        <w:rPr>
          <w:rFonts w:hint="eastAsia" w:ascii="黑体" w:hAnsi="黑体" w:eastAsia="黑体" w:cs="黑体"/>
          <w:b/>
          <w:bCs/>
          <w:color w:val="auto"/>
          <w:sz w:val="32"/>
          <w:szCs w:val="32"/>
        </w:rPr>
        <w:t>流程</w:t>
      </w:r>
    </w:p>
    <w:p>
      <w:pPr>
        <w:pStyle w:val="10"/>
        <w:numPr>
          <w:ilvl w:val="0"/>
          <w:numId w:val="3"/>
        </w:numPr>
        <w:ind w:left="425" w:leftChars="0" w:hanging="425" w:firstLineChars="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学员</w:t>
      </w:r>
      <w:r>
        <w:rPr>
          <w:rFonts w:hint="eastAsia" w:ascii="仿宋_GB2312" w:hAnsi="仿宋_GB2312" w:eastAsia="仿宋_GB2312" w:cs="仿宋_GB2312"/>
          <w:color w:val="auto"/>
          <w:sz w:val="28"/>
          <w:szCs w:val="28"/>
          <w:lang w:eastAsia="zh-CN"/>
        </w:rPr>
        <w:t>登录</w:t>
      </w:r>
      <w:bookmarkStart w:id="0" w:name="_GoBack"/>
      <w:bookmarkEnd w:id="0"/>
      <w:r>
        <w:rPr>
          <w:rFonts w:hint="eastAsia" w:ascii="仿宋_GB2312" w:hAnsi="仿宋_GB2312" w:eastAsia="仿宋_GB2312" w:cs="仿宋_GB2312"/>
          <w:color w:val="auto"/>
          <w:sz w:val="28"/>
          <w:szCs w:val="28"/>
        </w:rPr>
        <w:t>后，请在“我的档案”中完善相关个人信息</w:t>
      </w:r>
    </w:p>
    <w:p>
      <w:pPr>
        <w:pStyle w:val="10"/>
        <w:ind w:left="0" w:leftChars="0" w:firstLine="0" w:firstLineChars="0"/>
        <w:jc w:val="center"/>
        <w:rPr>
          <w:rFonts w:hint="eastAsia" w:ascii="仿宋_GB2312" w:hAnsi="仿宋_GB2312" w:eastAsia="仿宋_GB2312" w:cs="仿宋_GB2312"/>
          <w:color w:val="auto"/>
          <w:sz w:val="36"/>
          <w:szCs w:val="36"/>
        </w:rPr>
      </w:pPr>
      <w:r>
        <w:rPr>
          <w:rFonts w:hint="eastAsia" w:ascii="仿宋_GB2312" w:hAnsi="仿宋_GB2312" w:eastAsia="仿宋_GB2312" w:cs="仿宋_GB2312"/>
        </w:rPr>
        <w:drawing>
          <wp:inline distT="0" distB="0" distL="114300" distR="114300">
            <wp:extent cx="4382770" cy="2759710"/>
            <wp:effectExtent l="0" t="0" r="17780"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9"/>
                    <a:stretch>
                      <a:fillRect/>
                    </a:stretch>
                  </pic:blipFill>
                  <pic:spPr>
                    <a:xfrm>
                      <a:off x="0" y="0"/>
                      <a:ext cx="4382770" cy="2759710"/>
                    </a:xfrm>
                    <a:prstGeom prst="rect">
                      <a:avLst/>
                    </a:prstGeom>
                    <a:noFill/>
                    <a:ln>
                      <a:noFill/>
                    </a:ln>
                  </pic:spPr>
                </pic:pic>
              </a:graphicData>
            </a:graphic>
          </wp:inline>
        </w:drawing>
      </w:r>
    </w:p>
    <w:p>
      <w:pPr>
        <w:numPr>
          <w:ilvl w:val="0"/>
          <w:numId w:val="3"/>
        </w:numPr>
        <w:ind w:left="425" w:leftChars="0" w:hanging="425" w:firstLineChars="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完善信息后就在“购买课程”模块，选择“专业技术人员继续教育课程</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报名</w:t>
      </w:r>
      <w:r>
        <w:rPr>
          <w:rFonts w:hint="eastAsia" w:ascii="仿宋_GB2312" w:hAnsi="仿宋_GB2312" w:eastAsia="仿宋_GB2312" w:cs="仿宋_GB2312"/>
          <w:color w:val="auto"/>
          <w:sz w:val="28"/>
          <w:szCs w:val="28"/>
          <w:lang w:eastAsia="zh-CN"/>
        </w:rPr>
        <w:t>。若出现“本年度未报名，请填写信息”提示，请下拉浏览页面，填写从业信息。</w:t>
      </w:r>
    </w:p>
    <w:p>
      <w:pPr>
        <w:jc w:val="left"/>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color w:val="auto"/>
        </w:rPr>
        <w:drawing>
          <wp:inline distT="0" distB="0" distL="0" distR="0">
            <wp:extent cx="5772150" cy="20574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cstate="print"/>
                    <a:srcRect/>
                    <a:stretch>
                      <a:fillRect/>
                    </a:stretch>
                  </pic:blipFill>
                  <pic:spPr>
                    <a:xfrm>
                      <a:off x="0" y="0"/>
                      <a:ext cx="5778500" cy="2059615"/>
                    </a:xfrm>
                    <a:prstGeom prst="rect">
                      <a:avLst/>
                    </a:prstGeom>
                    <a:noFill/>
                    <a:ln w="9525">
                      <a:noFill/>
                      <a:miter lim="800000"/>
                      <a:headEnd/>
                      <a:tailEnd/>
                    </a:ln>
                  </pic:spPr>
                </pic:pic>
              </a:graphicData>
            </a:graphic>
          </wp:inline>
        </w:drawing>
      </w:r>
      <w:r>
        <w:rPr>
          <w:rFonts w:hint="eastAsia" w:ascii="仿宋_GB2312" w:hAnsi="仿宋_GB2312" w:eastAsia="仿宋_GB2312" w:cs="仿宋_GB2312"/>
          <w:b/>
          <w:bCs w:val="0"/>
          <w:color w:val="auto"/>
          <w:sz w:val="28"/>
          <w:szCs w:val="28"/>
        </w:rPr>
        <w:t>特别注意：填写</w:t>
      </w:r>
      <w:r>
        <w:rPr>
          <w:rFonts w:hint="eastAsia" w:ascii="仿宋_GB2312" w:hAnsi="仿宋_GB2312" w:eastAsia="仿宋_GB2312" w:cs="仿宋_GB2312"/>
          <w:b/>
          <w:bCs w:val="0"/>
          <w:color w:val="auto"/>
          <w:sz w:val="28"/>
          <w:szCs w:val="28"/>
          <w:lang w:eastAsia="zh-CN"/>
        </w:rPr>
        <w:t>从业</w:t>
      </w:r>
      <w:r>
        <w:rPr>
          <w:rFonts w:hint="eastAsia" w:ascii="仿宋_GB2312" w:hAnsi="仿宋_GB2312" w:eastAsia="仿宋_GB2312" w:cs="仿宋_GB2312"/>
          <w:b/>
          <w:bCs w:val="0"/>
          <w:color w:val="auto"/>
          <w:sz w:val="28"/>
          <w:szCs w:val="28"/>
        </w:rPr>
        <w:t>信息，个人职称信息</w:t>
      </w:r>
      <w:r>
        <w:rPr>
          <w:rFonts w:hint="eastAsia" w:ascii="仿宋_GB2312" w:hAnsi="仿宋_GB2312" w:eastAsia="仿宋_GB2312" w:cs="仿宋_GB2312"/>
          <w:b/>
          <w:bCs w:val="0"/>
          <w:color w:val="auto"/>
          <w:sz w:val="28"/>
          <w:szCs w:val="28"/>
          <w:lang w:eastAsia="zh-CN"/>
        </w:rPr>
        <w:t>需</w:t>
      </w:r>
      <w:r>
        <w:rPr>
          <w:rFonts w:hint="eastAsia" w:ascii="仿宋_GB2312" w:hAnsi="仿宋_GB2312" w:eastAsia="仿宋_GB2312" w:cs="仿宋_GB2312"/>
          <w:b/>
          <w:bCs w:val="0"/>
          <w:color w:val="auto"/>
          <w:sz w:val="28"/>
          <w:szCs w:val="28"/>
        </w:rPr>
        <w:t>真实填写。</w:t>
      </w:r>
    </w:p>
    <w:p>
      <w:pPr>
        <w:jc w:val="center"/>
        <w:rPr>
          <w:rFonts w:hint="eastAsia" w:ascii="仿宋_GB2312" w:hAnsi="仿宋_GB2312" w:eastAsia="仿宋_GB2312" w:cs="仿宋_GB2312"/>
          <w:b/>
          <w:color w:val="auto"/>
        </w:rPr>
      </w:pPr>
      <w:r>
        <w:rPr>
          <w:rFonts w:hint="eastAsia" w:ascii="仿宋_GB2312" w:hAnsi="仿宋_GB2312" w:eastAsia="仿宋_GB2312" w:cs="仿宋_GB2312"/>
          <w:b/>
          <w:color w:val="auto"/>
        </w:rPr>
        <w:drawing>
          <wp:inline distT="0" distB="0" distL="0" distR="0">
            <wp:extent cx="4788535" cy="1757680"/>
            <wp:effectExtent l="0" t="0" r="12065"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1" cstate="print"/>
                    <a:srcRect/>
                    <a:stretch>
                      <a:fillRect/>
                    </a:stretch>
                  </pic:blipFill>
                  <pic:spPr>
                    <a:xfrm>
                      <a:off x="0" y="0"/>
                      <a:ext cx="4788535" cy="1757680"/>
                    </a:xfrm>
                    <a:prstGeom prst="rect">
                      <a:avLst/>
                    </a:prstGeom>
                    <a:noFill/>
                    <a:ln w="9525">
                      <a:noFill/>
                      <a:miter lim="800000"/>
                      <a:headEnd/>
                      <a:tailEnd/>
                    </a:ln>
                  </pic:spPr>
                </pic:pic>
              </a:graphicData>
            </a:graphic>
          </wp:inline>
        </w:drawing>
      </w:r>
    </w:p>
    <w:p>
      <w:pPr>
        <w:numPr>
          <w:ilvl w:val="0"/>
          <w:numId w:val="3"/>
        </w:numPr>
        <w:ind w:left="425" w:leftChars="0" w:hanging="425" w:firstLineChars="0"/>
        <w:rPr>
          <w:rFonts w:hint="eastAsia" w:ascii="仿宋_GB2312" w:hAnsi="仿宋_GB2312" w:eastAsia="仿宋_GB2312" w:cs="仿宋_GB2312"/>
          <w:b w:val="0"/>
          <w:bCs/>
          <w:color w:val="auto"/>
          <w:sz w:val="28"/>
          <w:szCs w:val="36"/>
        </w:rPr>
      </w:pPr>
      <w:r>
        <w:rPr>
          <w:rFonts w:hint="eastAsia" w:ascii="仿宋_GB2312" w:hAnsi="仿宋_GB2312" w:eastAsia="仿宋_GB2312" w:cs="仿宋_GB2312"/>
          <w:b w:val="0"/>
          <w:bCs/>
          <w:color w:val="auto"/>
          <w:sz w:val="28"/>
          <w:szCs w:val="36"/>
        </w:rPr>
        <w:t>报名成功后，可以开始购买课程。</w:t>
      </w:r>
    </w:p>
    <w:p>
      <w:pPr>
        <w:jc w:val="center"/>
        <w:rPr>
          <w:rFonts w:hint="eastAsia" w:ascii="仿宋_GB2312" w:hAnsi="仿宋_GB2312" w:eastAsia="仿宋_GB2312" w:cs="仿宋_GB2312"/>
          <w:color w:val="auto"/>
        </w:rPr>
      </w:pPr>
      <w:r>
        <w:rPr>
          <w:rFonts w:hint="eastAsia" w:ascii="仿宋_GB2312" w:hAnsi="仿宋_GB2312" w:eastAsia="仿宋_GB2312" w:cs="仿宋_GB2312"/>
        </w:rPr>
        <w:drawing>
          <wp:inline distT="0" distB="0" distL="114300" distR="114300">
            <wp:extent cx="4192905" cy="2357755"/>
            <wp:effectExtent l="0" t="0" r="1714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4192905" cy="2357755"/>
                    </a:xfrm>
                    <a:prstGeom prst="rect">
                      <a:avLst/>
                    </a:prstGeom>
                    <a:noFill/>
                    <a:ln>
                      <a:noFill/>
                    </a:ln>
                  </pic:spPr>
                </pic:pic>
              </a:graphicData>
            </a:graphic>
          </wp:inline>
        </w:drawing>
      </w:r>
    </w:p>
    <w:p>
      <w:pPr>
        <w:rPr>
          <w:rFonts w:hint="eastAsia" w:ascii="仿宋_GB2312" w:hAnsi="仿宋_GB2312" w:eastAsia="仿宋_GB2312" w:cs="仿宋_GB2312"/>
          <w:color w:val="auto"/>
        </w:rPr>
      </w:pPr>
    </w:p>
    <w:p>
      <w:pPr>
        <w:rPr>
          <w:rFonts w:hint="eastAsia" w:ascii="仿宋_GB2312" w:hAnsi="仿宋_GB2312" w:eastAsia="仿宋_GB2312" w:cs="仿宋_GB2312"/>
          <w:color w:val="auto"/>
          <w:sz w:val="28"/>
          <w:szCs w:val="36"/>
          <w:lang w:eastAsia="zh-CN"/>
        </w:rPr>
      </w:pPr>
      <w:r>
        <w:rPr>
          <w:rFonts w:hint="eastAsia" w:ascii="仿宋_GB2312" w:hAnsi="仿宋_GB2312" w:eastAsia="仿宋_GB2312" w:cs="仿宋_GB2312"/>
          <w:color w:val="auto"/>
          <w:sz w:val="28"/>
          <w:szCs w:val="36"/>
        </w:rPr>
        <w:t>确认所选课件后，</w:t>
      </w:r>
      <w:r>
        <w:rPr>
          <w:rFonts w:hint="eastAsia" w:ascii="仿宋_GB2312" w:hAnsi="仿宋_GB2312" w:eastAsia="仿宋_GB2312" w:cs="仿宋_GB2312"/>
          <w:color w:val="auto"/>
          <w:sz w:val="28"/>
          <w:szCs w:val="36"/>
          <w:lang w:val="en-US" w:eastAsia="zh-CN"/>
        </w:rPr>
        <w:t>点击购买，加入购物车，并在购物车内选择付款，</w:t>
      </w:r>
      <w:r>
        <w:rPr>
          <w:rFonts w:hint="eastAsia" w:ascii="仿宋_GB2312" w:hAnsi="仿宋_GB2312" w:eastAsia="仿宋_GB2312" w:cs="仿宋_GB2312"/>
          <w:color w:val="auto"/>
          <w:sz w:val="28"/>
          <w:szCs w:val="36"/>
        </w:rPr>
        <w:t>按要求填写发票信息，并进行缴费支付</w:t>
      </w:r>
      <w:r>
        <w:rPr>
          <w:rFonts w:hint="eastAsia" w:ascii="仿宋_GB2312" w:hAnsi="仿宋_GB2312" w:eastAsia="仿宋_GB2312" w:cs="仿宋_GB2312"/>
          <w:color w:val="auto"/>
          <w:sz w:val="28"/>
          <w:szCs w:val="36"/>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特别注意</w:t>
      </w:r>
      <w:r>
        <w:rPr>
          <w:rFonts w:hint="eastAsia" w:ascii="仿宋_GB2312" w:hAnsi="仿宋_GB2312" w:eastAsia="仿宋_GB2312" w:cs="仿宋_GB2312"/>
          <w:b/>
          <w:bCs w:val="0"/>
          <w:color w:val="auto"/>
          <w:sz w:val="28"/>
          <w:szCs w:val="28"/>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1</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第一次购买课程，</w:t>
      </w:r>
      <w:r>
        <w:rPr>
          <w:rFonts w:hint="eastAsia" w:ascii="仿宋_GB2312" w:hAnsi="仿宋_GB2312" w:eastAsia="仿宋_GB2312" w:cs="仿宋_GB2312"/>
          <w:b/>
          <w:bCs w:val="0"/>
          <w:color w:val="auto"/>
          <w:sz w:val="28"/>
          <w:szCs w:val="28"/>
          <w:lang w:val="en-US" w:eastAsia="zh-CN"/>
        </w:rPr>
        <w:t>为</w:t>
      </w:r>
      <w:r>
        <w:rPr>
          <w:rFonts w:hint="eastAsia" w:ascii="仿宋_GB2312" w:hAnsi="仿宋_GB2312" w:eastAsia="仿宋_GB2312" w:cs="仿宋_GB2312"/>
          <w:b/>
          <w:bCs w:val="0"/>
          <w:color w:val="auto"/>
          <w:sz w:val="28"/>
          <w:szCs w:val="28"/>
        </w:rPr>
        <w:t>避免遗漏，系统会强制要求购买行业公需课1学时</w:t>
      </w:r>
      <w:r>
        <w:rPr>
          <w:rFonts w:hint="eastAsia" w:ascii="仿宋_GB2312" w:hAnsi="仿宋_GB2312" w:eastAsia="仿宋_GB2312" w:cs="仿宋_GB2312"/>
          <w:b/>
          <w:bCs w:val="0"/>
          <w:color w:val="auto"/>
          <w:sz w:val="28"/>
          <w:szCs w:val="28"/>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（2）当前已购买课程学习完，才可以再次购买课程；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3</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后续购买，系统不做限制，学员可根据需要购买任意学时数</w:t>
      </w:r>
      <w:r>
        <w:rPr>
          <w:rFonts w:hint="eastAsia" w:ascii="仿宋_GB2312" w:hAnsi="仿宋_GB2312" w:eastAsia="仿宋_GB2312" w:cs="仿宋_GB2312"/>
          <w:b/>
          <w:bCs w:val="0"/>
          <w:color w:val="auto"/>
          <w:sz w:val="28"/>
          <w:szCs w:val="28"/>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4</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购买过的课件，本年度将不能重复购买</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lang w:val="en-US" w:eastAsia="zh-CN"/>
        </w:rPr>
        <w:t>5</w:t>
      </w:r>
      <w:r>
        <w:rPr>
          <w:rFonts w:hint="eastAsia" w:ascii="仿宋_GB2312" w:hAnsi="仿宋_GB2312" w:eastAsia="仿宋_GB2312" w:cs="仿宋_GB2312"/>
          <w:b/>
          <w:bCs w:val="0"/>
          <w:color w:val="auto"/>
          <w:sz w:val="28"/>
          <w:szCs w:val="28"/>
          <w:lang w:eastAsia="zh-CN"/>
        </w:rPr>
        <w:t>）</w:t>
      </w:r>
      <w:r>
        <w:rPr>
          <w:rFonts w:hint="eastAsia" w:ascii="仿宋_GB2312" w:hAnsi="仿宋_GB2312" w:eastAsia="仿宋_GB2312" w:cs="仿宋_GB2312"/>
          <w:b/>
          <w:bCs w:val="0"/>
          <w:color w:val="auto"/>
          <w:sz w:val="28"/>
          <w:szCs w:val="28"/>
        </w:rPr>
        <w:t>每次购买课件，在页面右方会有所勾选课件学时总数的具体提示。</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lang w:val="en-US" w:eastAsia="zh-CN"/>
        </w:rPr>
        <w:t>（6）学员已购买学时全部学习完毕，并无需再购买课程，方可选择提交学时，提交学时后将视为该学员的本年度继续教育已完成。</w:t>
      </w:r>
    </w:p>
    <w:p>
      <w:pPr>
        <w:pStyle w:val="10"/>
        <w:keepNext w:val="0"/>
        <w:keepLines w:val="0"/>
        <w:pageBreakBefore w:val="0"/>
        <w:widowControl w:val="0"/>
        <w:numPr>
          <w:ilvl w:val="0"/>
          <w:numId w:val="0"/>
        </w:numPr>
        <w:kinsoku/>
        <w:wordWrap w:val="0"/>
        <w:overflowPunct/>
        <w:topLinePunct w:val="0"/>
        <w:autoSpaceDE/>
        <w:autoSpaceDN/>
        <w:bidi w:val="0"/>
        <w:adjustRightInd/>
        <w:snapToGrid/>
        <w:ind w:left="420" w:leftChars="0"/>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613400" cy="1789430"/>
            <wp:effectExtent l="0" t="0" r="635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613400" cy="1789430"/>
                    </a:xfrm>
                    <a:prstGeom prst="rect">
                      <a:avLst/>
                    </a:prstGeom>
                    <a:noFill/>
                    <a:ln>
                      <a:noFill/>
                    </a:ln>
                  </pic:spPr>
                </pic:pic>
              </a:graphicData>
            </a:graphic>
          </wp:inline>
        </w:drawing>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420" w:leftChars="0"/>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（7）学员须正确填写用户ID，该用户ID是金华市专业技术人员继续教育培训平台(人社平台）的用户名（不是姓名/汉字），如若出错，将不能进行学时汇总和提交。金华市专业技术人员继续教育学习平台网址：</w:t>
      </w:r>
      <w:r>
        <w:rPr>
          <w:rFonts w:hint="eastAsia" w:ascii="仿宋_GB2312" w:hAnsi="仿宋_GB2312" w:eastAsia="仿宋_GB2312" w:cs="仿宋_GB2312"/>
          <w:b/>
          <w:bCs w:val="0"/>
          <w:color w:val="auto"/>
          <w:sz w:val="28"/>
          <w:szCs w:val="28"/>
          <w:lang w:val="en-US" w:eastAsia="zh-CN"/>
        </w:rPr>
        <w:fldChar w:fldCharType="begin"/>
      </w:r>
      <w:r>
        <w:rPr>
          <w:rFonts w:hint="eastAsia" w:ascii="仿宋_GB2312" w:hAnsi="仿宋_GB2312" w:eastAsia="仿宋_GB2312" w:cs="仿宋_GB2312"/>
          <w:b/>
          <w:bCs w:val="0"/>
          <w:color w:val="auto"/>
          <w:sz w:val="28"/>
          <w:szCs w:val="28"/>
          <w:lang w:val="en-US" w:eastAsia="zh-CN"/>
        </w:rPr>
        <w:instrText xml:space="preserve"> HYPERLINK "http://jxjy.rsj.jinhua.gov.cn/#/" </w:instrText>
      </w:r>
      <w:r>
        <w:rPr>
          <w:rFonts w:hint="eastAsia" w:ascii="仿宋_GB2312" w:hAnsi="仿宋_GB2312" w:eastAsia="仿宋_GB2312" w:cs="仿宋_GB2312"/>
          <w:b/>
          <w:bCs w:val="0"/>
          <w:color w:val="auto"/>
          <w:sz w:val="28"/>
          <w:szCs w:val="28"/>
          <w:lang w:val="en-US" w:eastAsia="zh-CN"/>
        </w:rPr>
        <w:fldChar w:fldCharType="separate"/>
      </w:r>
      <w:r>
        <w:rPr>
          <w:rFonts w:hint="eastAsia" w:ascii="仿宋_GB2312" w:hAnsi="仿宋_GB2312" w:eastAsia="仿宋_GB2312" w:cs="仿宋_GB2312"/>
          <w:b/>
          <w:bCs w:val="0"/>
          <w:color w:val="auto"/>
          <w:sz w:val="28"/>
          <w:szCs w:val="28"/>
          <w:lang w:val="en-US" w:eastAsia="zh-CN"/>
        </w:rPr>
        <w:t>http://jxjy.rsj.jinhua.gov.cn/#/</w:t>
      </w:r>
      <w:r>
        <w:rPr>
          <w:rFonts w:hint="eastAsia" w:ascii="仿宋_GB2312" w:hAnsi="仿宋_GB2312" w:eastAsia="仿宋_GB2312" w:cs="仿宋_GB2312"/>
          <w:b/>
          <w:bCs w:val="0"/>
          <w:color w:val="auto"/>
          <w:sz w:val="28"/>
          <w:szCs w:val="28"/>
          <w:lang w:val="en-US" w:eastAsia="zh-CN"/>
        </w:rPr>
        <w:fldChar w:fldCharType="end"/>
      </w:r>
    </w:p>
    <w:p>
      <w:pPr>
        <w:rPr>
          <w:rFonts w:hint="eastAsia" w:ascii="仿宋_GB2312" w:hAnsi="仿宋_GB2312" w:eastAsia="仿宋_GB2312" w:cs="仿宋_GB2312"/>
          <w:lang w:eastAsia="zh-CN"/>
        </w:rPr>
      </w:pPr>
    </w:p>
    <w:p>
      <w:pPr>
        <w:numPr>
          <w:ilvl w:val="0"/>
          <w:numId w:val="3"/>
        </w:numPr>
        <w:ind w:left="425" w:leftChars="0" w:hanging="425" w:firstLineChars="0"/>
        <w:rPr>
          <w:rFonts w:hint="eastAsia" w:ascii="仿宋_GB2312" w:hAnsi="仿宋_GB2312" w:eastAsia="仿宋_GB2312" w:cs="仿宋_GB2312"/>
          <w:b w:val="0"/>
          <w:bCs/>
          <w:color w:val="auto"/>
          <w:sz w:val="28"/>
          <w:szCs w:val="36"/>
        </w:rPr>
      </w:pPr>
      <w:r>
        <w:rPr>
          <w:rFonts w:hint="eastAsia" w:ascii="仿宋_GB2312" w:hAnsi="仿宋_GB2312" w:eastAsia="仿宋_GB2312" w:cs="仿宋_GB2312"/>
          <w:b w:val="0"/>
          <w:bCs/>
          <w:color w:val="auto"/>
          <w:sz w:val="28"/>
          <w:szCs w:val="36"/>
        </w:rPr>
        <w:t>将根据提供的发票信息开具发票。务必保证发票信息正确。</w:t>
      </w:r>
    </w:p>
    <w:p>
      <w:pPr>
        <w:pStyle w:val="10"/>
        <w:numPr>
          <w:ilvl w:val="0"/>
          <w:numId w:val="0"/>
        </w:numPr>
        <w:ind w:leftChars="0" w:firstLine="560" w:firstLineChars="200"/>
        <w:rPr>
          <w:rFonts w:hint="eastAsia" w:ascii="仿宋_GB2312" w:hAnsi="仿宋_GB2312" w:eastAsia="仿宋_GB2312" w:cs="仿宋_GB2312"/>
          <w:b w:val="0"/>
          <w:bCs/>
          <w:color w:val="auto"/>
          <w:sz w:val="28"/>
          <w:szCs w:val="36"/>
        </w:rPr>
      </w:pPr>
      <w:r>
        <w:rPr>
          <w:rFonts w:hint="eastAsia" w:ascii="仿宋_GB2312" w:hAnsi="仿宋_GB2312" w:eastAsia="仿宋_GB2312" w:cs="仿宋_GB2312"/>
          <w:b w:val="0"/>
          <w:bCs/>
          <w:color w:val="auto"/>
          <w:sz w:val="28"/>
          <w:szCs w:val="36"/>
          <w:lang w:eastAsia="zh-CN"/>
        </w:rPr>
        <w:t>培训中心</w:t>
      </w:r>
      <w:r>
        <w:rPr>
          <w:rFonts w:hint="eastAsia" w:ascii="仿宋_GB2312" w:hAnsi="仿宋_GB2312" w:eastAsia="仿宋_GB2312" w:cs="仿宋_GB2312"/>
          <w:b w:val="0"/>
          <w:bCs/>
          <w:color w:val="auto"/>
          <w:sz w:val="28"/>
          <w:szCs w:val="36"/>
        </w:rPr>
        <w:t>开具好电子发票后，将通过</w:t>
      </w:r>
      <w:r>
        <w:rPr>
          <w:rFonts w:hint="eastAsia" w:ascii="仿宋_GB2312" w:hAnsi="仿宋_GB2312" w:eastAsia="仿宋_GB2312" w:cs="仿宋_GB2312"/>
          <w:b/>
          <w:bCs w:val="0"/>
          <w:color w:val="auto"/>
          <w:sz w:val="28"/>
          <w:szCs w:val="36"/>
          <w:u w:val="single"/>
        </w:rPr>
        <w:t>手机短信</w:t>
      </w:r>
      <w:r>
        <w:rPr>
          <w:rFonts w:hint="eastAsia" w:ascii="仿宋_GB2312" w:hAnsi="仿宋_GB2312" w:eastAsia="仿宋_GB2312" w:cs="仿宋_GB2312"/>
          <w:b w:val="0"/>
          <w:bCs/>
          <w:color w:val="auto"/>
          <w:sz w:val="28"/>
          <w:szCs w:val="36"/>
        </w:rPr>
        <w:t>发送给收件人，</w:t>
      </w:r>
      <w:r>
        <w:rPr>
          <w:rFonts w:hint="eastAsia" w:ascii="仿宋_GB2312" w:hAnsi="仿宋_GB2312" w:eastAsia="仿宋_GB2312" w:cs="仿宋_GB2312"/>
          <w:b/>
          <w:bCs w:val="0"/>
          <w:color w:val="auto"/>
          <w:sz w:val="28"/>
          <w:szCs w:val="36"/>
          <w:lang w:eastAsia="zh-CN"/>
        </w:rPr>
        <w:t>请填写正确手机号</w:t>
      </w:r>
      <w:r>
        <w:rPr>
          <w:rFonts w:hint="eastAsia" w:ascii="仿宋_GB2312" w:hAnsi="仿宋_GB2312" w:eastAsia="仿宋_GB2312" w:cs="仿宋_GB2312"/>
          <w:b w:val="0"/>
          <w:bCs/>
          <w:color w:val="auto"/>
          <w:sz w:val="28"/>
          <w:szCs w:val="36"/>
          <w:lang w:eastAsia="zh-CN"/>
        </w:rPr>
        <w:t>，</w:t>
      </w:r>
      <w:r>
        <w:rPr>
          <w:rFonts w:hint="eastAsia" w:ascii="仿宋_GB2312" w:hAnsi="仿宋_GB2312" w:eastAsia="仿宋_GB2312" w:cs="仿宋_GB2312"/>
          <w:b w:val="0"/>
          <w:bCs/>
          <w:color w:val="auto"/>
          <w:sz w:val="28"/>
          <w:szCs w:val="36"/>
        </w:rPr>
        <w:t>注意查收。</w:t>
      </w:r>
    </w:p>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3914775" cy="2840355"/>
            <wp:effectExtent l="0" t="0" r="9525"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l="1518" t="1097" r="3001" b="1890"/>
                    <a:stretch>
                      <a:fillRect/>
                    </a:stretch>
                  </pic:blipFill>
                  <pic:spPr>
                    <a:xfrm>
                      <a:off x="0" y="0"/>
                      <a:ext cx="3914775" cy="2840355"/>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b/>
          <w:color w:val="auto"/>
          <w:sz w:val="24"/>
          <w:szCs w:val="32"/>
        </w:rPr>
      </w:pPr>
      <w:r>
        <w:rPr>
          <w:rFonts w:hint="eastAsia" w:ascii="仿宋_GB2312" w:hAnsi="仿宋_GB2312" w:eastAsia="仿宋_GB2312" w:cs="仿宋_GB2312"/>
          <w:b/>
          <w:color w:val="auto"/>
          <w:sz w:val="24"/>
          <w:szCs w:val="32"/>
          <w:lang w:eastAsia="zh-CN"/>
        </w:rPr>
        <w:t>注：</w:t>
      </w:r>
      <w:r>
        <w:rPr>
          <w:rFonts w:hint="eastAsia" w:ascii="仿宋_GB2312" w:hAnsi="仿宋_GB2312" w:eastAsia="仿宋_GB2312" w:cs="仿宋_GB2312"/>
          <w:b/>
          <w:color w:val="auto"/>
          <w:sz w:val="24"/>
          <w:szCs w:val="32"/>
        </w:rPr>
        <w:t>在线支付，目前金华市暂时只提供支付宝在线支付。</w:t>
      </w:r>
    </w:p>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3933825" cy="1765935"/>
            <wp:effectExtent l="0" t="0" r="9525" b="571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noChangeArrowheads="1"/>
                    </pic:cNvPicPr>
                  </pic:nvPicPr>
                  <pic:blipFill>
                    <a:blip r:embed="rId15" cstate="print"/>
                    <a:srcRect/>
                    <a:stretch>
                      <a:fillRect/>
                    </a:stretch>
                  </pic:blipFill>
                  <pic:spPr>
                    <a:xfrm>
                      <a:off x="0" y="0"/>
                      <a:ext cx="3933825" cy="1765935"/>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color w:val="auto"/>
        </w:rPr>
      </w:pPr>
    </w:p>
    <w:p>
      <w:pPr>
        <w:rPr>
          <w:rFonts w:hint="eastAsia" w:ascii="黑体" w:hAnsi="黑体" w:eastAsia="黑体" w:cs="黑体"/>
          <w:b/>
          <w:color w:val="auto"/>
          <w:sz w:val="32"/>
          <w:szCs w:val="32"/>
        </w:rPr>
      </w:pPr>
      <w:r>
        <w:rPr>
          <w:rFonts w:hint="eastAsia" w:ascii="黑体" w:hAnsi="黑体" w:eastAsia="黑体" w:cs="黑体"/>
          <w:b/>
          <w:color w:val="auto"/>
          <w:sz w:val="32"/>
          <w:szCs w:val="32"/>
        </w:rPr>
        <w:t>三、学习过程</w:t>
      </w:r>
    </w:p>
    <w:p>
      <w:pPr>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rPr>
        <w:t>支付成功后，在“我的培训”里，点击开始学习</w:t>
      </w:r>
      <w:r>
        <w:rPr>
          <w:rFonts w:hint="eastAsia" w:ascii="仿宋_GB2312" w:hAnsi="仿宋_GB2312" w:eastAsia="仿宋_GB2312" w:cs="仿宋_GB2312"/>
          <w:b w:val="0"/>
          <w:bCs/>
          <w:color w:val="auto"/>
          <w:sz w:val="28"/>
          <w:szCs w:val="28"/>
          <w:lang w:eastAsia="zh-CN"/>
        </w:rPr>
        <w:t>。</w:t>
      </w:r>
    </w:p>
    <w:p>
      <w:pPr>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274310" cy="1751965"/>
            <wp:effectExtent l="0" t="0" r="2540" b="635"/>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noChangeArrowheads="1"/>
                    </pic:cNvPicPr>
                  </pic:nvPicPr>
                  <pic:blipFill>
                    <a:blip r:embed="rId16" cstate="print"/>
                    <a:srcRect/>
                    <a:stretch>
                      <a:fillRect/>
                    </a:stretch>
                  </pic:blipFill>
                  <pic:spPr>
                    <a:xfrm>
                      <a:off x="0" y="0"/>
                      <a:ext cx="5274310" cy="1752526"/>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color w:val="auto"/>
        </w:rPr>
        <w:drawing>
          <wp:inline distT="0" distB="0" distL="0" distR="0">
            <wp:extent cx="5274310" cy="2712720"/>
            <wp:effectExtent l="0" t="0" r="2540"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7" cstate="print"/>
                    <a:srcRect/>
                    <a:stretch>
                      <a:fillRect/>
                    </a:stretch>
                  </pic:blipFill>
                  <pic:spPr>
                    <a:xfrm>
                      <a:off x="0" y="0"/>
                      <a:ext cx="5274310" cy="271292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color w:val="auto"/>
          <w:sz w:val="28"/>
          <w:szCs w:val="28"/>
          <w:lang w:eastAsia="zh-CN"/>
        </w:rPr>
      </w:pPr>
      <w:r>
        <w:rPr>
          <w:rFonts w:hint="eastAsia" w:ascii="仿宋_GB2312" w:hAnsi="仿宋_GB2312" w:eastAsia="仿宋_GB2312" w:cs="仿宋_GB2312"/>
          <w:b w:val="0"/>
          <w:bCs/>
          <w:color w:val="auto"/>
          <w:sz w:val="28"/>
          <w:szCs w:val="28"/>
        </w:rPr>
        <w:t>所购买的学时数完成后，如果学员未达到年度继续教育规定学时，可以继续选课购买；如果已达到继续教育学时数，可以提交本年度继续教育学时，并打印学时记录表及</w:t>
      </w:r>
      <w:r>
        <w:rPr>
          <w:rFonts w:hint="eastAsia" w:ascii="仿宋_GB2312" w:hAnsi="仿宋_GB2312" w:eastAsia="仿宋_GB2312" w:cs="仿宋_GB2312"/>
          <w:b w:val="0"/>
          <w:bCs/>
          <w:color w:val="auto"/>
          <w:sz w:val="28"/>
          <w:szCs w:val="28"/>
          <w:lang w:val="en-US" w:eastAsia="zh-CN"/>
        </w:rPr>
        <w:t>专业技术人员</w:t>
      </w:r>
      <w:r>
        <w:rPr>
          <w:rFonts w:hint="eastAsia" w:ascii="仿宋_GB2312" w:hAnsi="仿宋_GB2312" w:eastAsia="仿宋_GB2312" w:cs="仿宋_GB2312"/>
          <w:b w:val="0"/>
          <w:bCs/>
          <w:color w:val="auto"/>
          <w:sz w:val="28"/>
          <w:szCs w:val="28"/>
        </w:rPr>
        <w:t>继续教育</w:t>
      </w:r>
      <w:r>
        <w:rPr>
          <w:rFonts w:hint="eastAsia" w:ascii="仿宋_GB2312" w:hAnsi="仿宋_GB2312" w:eastAsia="仿宋_GB2312" w:cs="仿宋_GB2312"/>
          <w:b w:val="0"/>
          <w:bCs/>
          <w:color w:val="auto"/>
          <w:sz w:val="28"/>
          <w:szCs w:val="28"/>
          <w:lang w:val="en-US" w:eastAsia="zh-CN"/>
        </w:rPr>
        <w:t>合格证书</w:t>
      </w:r>
      <w:r>
        <w:rPr>
          <w:rFonts w:hint="eastAsia" w:ascii="仿宋_GB2312" w:hAnsi="仿宋_GB2312" w:eastAsia="仿宋_GB2312" w:cs="仿宋_GB2312"/>
          <w:b w:val="0"/>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金人社发〔2022〕18号：为做好政策衔接，设立专业技术人员继续教育学时过渡期：</w:t>
      </w:r>
      <w:r>
        <w:rPr>
          <w:rFonts w:hint="eastAsia" w:ascii="仿宋_GB2312" w:hAnsi="仿宋_GB2312" w:eastAsia="仿宋_GB2312" w:cs="仿宋_GB2312"/>
          <w:b/>
          <w:bCs w:val="0"/>
          <w:color w:val="000000" w:themeColor="text1"/>
          <w:sz w:val="28"/>
          <w:szCs w:val="28"/>
          <w14:textFill>
            <w14:solidFill>
              <w14:schemeClr w14:val="tx1"/>
            </w14:solidFill>
          </w14:textFill>
        </w:rPr>
        <w:t>2022年参加职称评审的专业技术人员，可补学前两年的继续教育学时</w:t>
      </w:r>
      <w:r>
        <w:rPr>
          <w:rFonts w:hint="eastAsia" w:ascii="仿宋_GB2312" w:hAnsi="仿宋_GB2312" w:eastAsia="仿宋_GB2312" w:cs="仿宋_GB2312"/>
          <w:b/>
          <w:bCs w:val="0"/>
          <w:color w:val="auto"/>
          <w:sz w:val="28"/>
          <w:szCs w:val="28"/>
        </w:rPr>
        <w:t>；2023年符合职称评审条件的专业技术人员，可补学2021年度的继续教育学时；从2024年起，参加职称评审的专业技术人员，需完成近三年每年度的继续教育学时，不再进行补学。</w:t>
      </w:r>
    </w:p>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266055" cy="1172845"/>
            <wp:effectExtent l="0" t="0" r="10795" b="8255"/>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noChangeArrowheads="1"/>
                    </pic:cNvPicPr>
                  </pic:nvPicPr>
                  <pic:blipFill>
                    <a:blip r:embed="rId18" cstate="print"/>
                    <a:srcRect r="157" b="26297"/>
                    <a:stretch>
                      <a:fillRect/>
                    </a:stretch>
                  </pic:blipFill>
                  <pic:spPr>
                    <a:xfrm>
                      <a:off x="0" y="0"/>
                      <a:ext cx="5266055" cy="1172845"/>
                    </a:xfrm>
                    <a:prstGeom prst="rect">
                      <a:avLst/>
                    </a:prstGeom>
                    <a:noFill/>
                    <a:ln w="9525">
                      <a:noFill/>
                      <a:miter lim="800000"/>
                      <a:headEnd/>
                      <a:tailEnd/>
                    </a:ln>
                  </pic:spPr>
                </pic:pic>
              </a:graphicData>
            </a:graphic>
          </wp:inline>
        </w:drawing>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539615" cy="3137535"/>
            <wp:effectExtent l="0" t="0" r="13335" b="57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4539615" cy="3137535"/>
                    </a:xfrm>
                    <a:prstGeom prst="rect">
                      <a:avLst/>
                    </a:prstGeom>
                    <a:noFill/>
                    <a:ln>
                      <a:noFill/>
                    </a:ln>
                  </pic:spPr>
                </pic:pic>
              </a:graphicData>
            </a:graphic>
          </wp:inline>
        </w:drawing>
      </w:r>
    </w:p>
    <w:p>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778375" cy="3382010"/>
            <wp:effectExtent l="0" t="0" r="317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l="1236"/>
                    <a:stretch>
                      <a:fillRect/>
                    </a:stretch>
                  </pic:blipFill>
                  <pic:spPr>
                    <a:xfrm>
                      <a:off x="0" y="0"/>
                      <a:ext cx="4778375" cy="3382010"/>
                    </a:xfrm>
                    <a:prstGeom prst="rect">
                      <a:avLst/>
                    </a:prstGeom>
                    <a:noFill/>
                    <a:ln>
                      <a:noFill/>
                    </a:ln>
                  </pic:spPr>
                </pic:pic>
              </a:graphicData>
            </a:graphic>
          </wp:inline>
        </w:drawing>
      </w:r>
    </w:p>
    <w:p>
      <w:pPr>
        <w:rPr>
          <w:rFonts w:hint="eastAsia" w:ascii="黑体" w:hAnsi="黑体" w:eastAsia="黑体" w:cs="黑体"/>
          <w:b/>
          <w:bCs/>
          <w:color w:val="auto"/>
          <w:sz w:val="32"/>
          <w:szCs w:val="32"/>
        </w:rPr>
      </w:pPr>
      <w:r>
        <w:rPr>
          <w:rFonts w:hint="eastAsia" w:ascii="黑体" w:hAnsi="黑体" w:eastAsia="黑体" w:cs="黑体"/>
          <w:b/>
          <w:bCs/>
          <w:color w:val="auto"/>
          <w:sz w:val="32"/>
          <w:szCs w:val="32"/>
        </w:rPr>
        <w:t>四、其他</w:t>
      </w:r>
    </w:p>
    <w:p>
      <w:pPr>
        <w:ind w:firstLine="560" w:firstLineChars="200"/>
        <w:rPr>
          <w:rFonts w:hint="eastAsia" w:ascii="仿宋_GB2312" w:hAnsi="仿宋_GB2312" w:eastAsia="仿宋_GB2312" w:cs="仿宋_GB2312"/>
          <w:color w:val="auto"/>
        </w:rPr>
      </w:pPr>
      <w:r>
        <w:rPr>
          <w:rFonts w:hint="eastAsia" w:ascii="仿宋_GB2312" w:hAnsi="仿宋_GB2312" w:eastAsia="仿宋_GB2312" w:cs="仿宋_GB2312"/>
          <w:b w:val="0"/>
          <w:bCs w:val="0"/>
          <w:color w:val="auto"/>
          <w:sz w:val="28"/>
          <w:szCs w:val="28"/>
        </w:rPr>
        <w:t>学员完成学习</w:t>
      </w:r>
      <w:r>
        <w:rPr>
          <w:rFonts w:hint="eastAsia" w:ascii="仿宋_GB2312" w:hAnsi="仿宋_GB2312" w:eastAsia="仿宋_GB2312" w:cs="仿宋_GB2312"/>
          <w:b w:val="0"/>
          <w:bCs w:val="0"/>
          <w:color w:val="auto"/>
          <w:sz w:val="28"/>
          <w:szCs w:val="28"/>
          <w:lang w:val="en-US" w:eastAsia="zh-CN"/>
        </w:rPr>
        <w:t>并提交</w:t>
      </w:r>
      <w:r>
        <w:rPr>
          <w:rFonts w:hint="eastAsia" w:ascii="仿宋_GB2312" w:hAnsi="仿宋_GB2312" w:eastAsia="仿宋_GB2312" w:cs="仿宋_GB2312"/>
          <w:b w:val="0"/>
          <w:bCs w:val="0"/>
          <w:color w:val="auto"/>
          <w:sz w:val="28"/>
          <w:szCs w:val="28"/>
        </w:rPr>
        <w:t>后,学校将</w:t>
      </w:r>
      <w:r>
        <w:rPr>
          <w:rFonts w:hint="eastAsia" w:ascii="仿宋_GB2312" w:hAnsi="仿宋_GB2312" w:eastAsia="仿宋_GB2312" w:cs="仿宋_GB2312"/>
          <w:b w:val="0"/>
          <w:bCs w:val="0"/>
          <w:color w:val="auto"/>
          <w:sz w:val="28"/>
          <w:szCs w:val="28"/>
          <w:lang w:val="en-US" w:eastAsia="zh-CN"/>
        </w:rPr>
        <w:t>定期</w:t>
      </w:r>
      <w:r>
        <w:rPr>
          <w:rFonts w:hint="eastAsia" w:ascii="仿宋_GB2312" w:hAnsi="仿宋_GB2312" w:eastAsia="仿宋_GB2312" w:cs="仿宋_GB2312"/>
          <w:b w:val="0"/>
          <w:bCs w:val="0"/>
          <w:color w:val="auto"/>
          <w:sz w:val="28"/>
          <w:szCs w:val="28"/>
        </w:rPr>
        <w:t>把继续教育学时数导入到金华市专业技术人员继续教育学时登记管理系统</w:t>
      </w:r>
      <w:r>
        <w:rPr>
          <w:rFonts w:hint="eastAsia" w:ascii="仿宋_GB2312" w:hAnsi="仿宋_GB2312" w:eastAsia="仿宋_GB2312" w:cs="仿宋_GB2312"/>
          <w:b w:val="0"/>
          <w:bCs w:val="0"/>
          <w:color w:val="auto"/>
          <w:sz w:val="28"/>
          <w:szCs w:val="28"/>
          <w:lang w:eastAsia="zh-CN"/>
        </w:rPr>
        <w:t>。</w:t>
      </w:r>
    </w:p>
    <w:sectPr>
      <w:footerReference r:id="rId3" w:type="default"/>
      <w:pgSz w:w="11906" w:h="16838"/>
      <w:pgMar w:top="1757" w:right="1474" w:bottom="1587"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KAAAAAACHTuJAAAAAAAAAAAAAAAAABAAAAAAAAAAAABAA&#10;AAAWAAAAZHJzL1BLAQIUABQAAAAIAIdO4kAwiRJeMQIAAGEEAAAOAAAAAAAAAAEAIAAAADUBAABk&#10;cnMvZTJvRG9jLnhtbFBLAQIUABQAAAAIAIdO4kCzSVju0AAAAAUBAAAPAAAAAAAAAAEAIAAAADgA&#10;AABkcnMvZG93bnJldi54bWxQSwUGAAAAAAYABgBZAQAA2A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FF4437"/>
    <w:multiLevelType w:val="singleLevel"/>
    <w:tmpl w:val="DDFF4437"/>
    <w:lvl w:ilvl="0" w:tentative="0">
      <w:start w:val="1"/>
      <w:numFmt w:val="decimal"/>
      <w:lvlText w:val="%1."/>
      <w:lvlJc w:val="left"/>
      <w:pPr>
        <w:ind w:left="425" w:hanging="425"/>
      </w:pPr>
      <w:rPr>
        <w:rFonts w:hint="default"/>
      </w:rPr>
    </w:lvl>
  </w:abstractNum>
  <w:abstractNum w:abstractNumId="1">
    <w:nsid w:val="DFFCE1D1"/>
    <w:multiLevelType w:val="singleLevel"/>
    <w:tmpl w:val="DFFCE1D1"/>
    <w:lvl w:ilvl="0" w:tentative="0">
      <w:start w:val="1"/>
      <w:numFmt w:val="decimal"/>
      <w:lvlText w:val="%1."/>
      <w:lvlJc w:val="left"/>
      <w:pPr>
        <w:ind w:left="425" w:hanging="425"/>
      </w:pPr>
      <w:rPr>
        <w:rFonts w:hint="default"/>
      </w:rPr>
    </w:lvl>
  </w:abstractNum>
  <w:abstractNum w:abstractNumId="2">
    <w:nsid w:val="FFF59FD1"/>
    <w:multiLevelType w:val="multilevel"/>
    <w:tmpl w:val="FFF59FD1"/>
    <w:lvl w:ilvl="0" w:tentative="0">
      <w:start w:val="1"/>
      <w:numFmt w:val="japaneseCounting"/>
      <w:suff w:val="nothing"/>
      <w:lvlText w:val="%1、"/>
      <w:lvlJc w:val="left"/>
      <w:pPr>
        <w:ind w:left="1440" w:hanging="720"/>
      </w:pPr>
      <w:rPr>
        <w:rFonts w:hint="eastAsia"/>
      </w:rPr>
    </w:lvl>
    <w:lvl w:ilvl="1" w:tentative="0">
      <w:start w:val="1"/>
      <w:numFmt w:val="lowerLetter"/>
      <w:lvlText w:val="%2)"/>
      <w:lvlJc w:val="left"/>
      <w:pPr>
        <w:ind w:left="1560" w:hanging="420"/>
      </w:pPr>
      <w:rPr>
        <w:rFonts w:hint="eastAsia"/>
      </w:rPr>
    </w:lvl>
    <w:lvl w:ilvl="2" w:tentative="0">
      <w:start w:val="1"/>
      <w:numFmt w:val="lowerRoman"/>
      <w:lvlText w:val="%3."/>
      <w:lvlJc w:val="right"/>
      <w:pPr>
        <w:ind w:left="1980" w:hanging="420"/>
      </w:pPr>
      <w:rPr>
        <w:rFonts w:hint="eastAsia"/>
      </w:rPr>
    </w:lvl>
    <w:lvl w:ilvl="3" w:tentative="0">
      <w:start w:val="1"/>
      <w:numFmt w:val="decimal"/>
      <w:lvlText w:val="%4."/>
      <w:lvlJc w:val="left"/>
      <w:pPr>
        <w:ind w:left="2400" w:hanging="420"/>
      </w:pPr>
      <w:rPr>
        <w:rFonts w:hint="eastAsia"/>
      </w:rPr>
    </w:lvl>
    <w:lvl w:ilvl="4" w:tentative="0">
      <w:start w:val="1"/>
      <w:numFmt w:val="lowerLetter"/>
      <w:lvlText w:val="%5)"/>
      <w:lvlJc w:val="left"/>
      <w:pPr>
        <w:ind w:left="2820" w:hanging="420"/>
      </w:pPr>
      <w:rPr>
        <w:rFonts w:hint="eastAsia"/>
      </w:rPr>
    </w:lvl>
    <w:lvl w:ilvl="5" w:tentative="0">
      <w:start w:val="1"/>
      <w:numFmt w:val="lowerRoman"/>
      <w:lvlText w:val="%6."/>
      <w:lvlJc w:val="right"/>
      <w:pPr>
        <w:ind w:left="3240" w:hanging="420"/>
      </w:pPr>
      <w:rPr>
        <w:rFonts w:hint="eastAsia"/>
      </w:rPr>
    </w:lvl>
    <w:lvl w:ilvl="6" w:tentative="0">
      <w:start w:val="1"/>
      <w:numFmt w:val="decimal"/>
      <w:lvlText w:val="%7."/>
      <w:lvlJc w:val="left"/>
      <w:pPr>
        <w:ind w:left="3660" w:hanging="420"/>
      </w:pPr>
      <w:rPr>
        <w:rFonts w:hint="eastAsia"/>
      </w:rPr>
    </w:lvl>
    <w:lvl w:ilvl="7" w:tentative="0">
      <w:start w:val="1"/>
      <w:numFmt w:val="lowerLetter"/>
      <w:lvlText w:val="%8)"/>
      <w:lvlJc w:val="left"/>
      <w:pPr>
        <w:ind w:left="4080" w:hanging="420"/>
      </w:pPr>
      <w:rPr>
        <w:rFonts w:hint="eastAsia"/>
      </w:rPr>
    </w:lvl>
    <w:lvl w:ilvl="8" w:tentative="0">
      <w:start w:val="1"/>
      <w:numFmt w:val="lowerRoman"/>
      <w:lvlText w:val="%9."/>
      <w:lvlJc w:val="right"/>
      <w:pPr>
        <w:ind w:left="4500" w:hanging="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A23577"/>
    <w:rsid w:val="000072B9"/>
    <w:rsid w:val="000224E1"/>
    <w:rsid w:val="00033CFD"/>
    <w:rsid w:val="00060329"/>
    <w:rsid w:val="000C734E"/>
    <w:rsid w:val="002F6F98"/>
    <w:rsid w:val="0032102F"/>
    <w:rsid w:val="00336B7E"/>
    <w:rsid w:val="003A2ADF"/>
    <w:rsid w:val="003B3788"/>
    <w:rsid w:val="00430C6A"/>
    <w:rsid w:val="00454B6D"/>
    <w:rsid w:val="00542A4E"/>
    <w:rsid w:val="005803E8"/>
    <w:rsid w:val="006523CA"/>
    <w:rsid w:val="00697101"/>
    <w:rsid w:val="006A7F46"/>
    <w:rsid w:val="00704CD8"/>
    <w:rsid w:val="0071304B"/>
    <w:rsid w:val="00717531"/>
    <w:rsid w:val="007241AC"/>
    <w:rsid w:val="00724A10"/>
    <w:rsid w:val="00747FF7"/>
    <w:rsid w:val="007C124C"/>
    <w:rsid w:val="007F260B"/>
    <w:rsid w:val="00837587"/>
    <w:rsid w:val="0085241F"/>
    <w:rsid w:val="008817E4"/>
    <w:rsid w:val="008D0267"/>
    <w:rsid w:val="00967AB3"/>
    <w:rsid w:val="009F69EC"/>
    <w:rsid w:val="00A2191A"/>
    <w:rsid w:val="00AB12DE"/>
    <w:rsid w:val="00AB30FD"/>
    <w:rsid w:val="00AC3A6A"/>
    <w:rsid w:val="00B14C9F"/>
    <w:rsid w:val="00B266E5"/>
    <w:rsid w:val="00B47C35"/>
    <w:rsid w:val="00B62772"/>
    <w:rsid w:val="00C61E84"/>
    <w:rsid w:val="00C87F7E"/>
    <w:rsid w:val="00D07D98"/>
    <w:rsid w:val="00D6025C"/>
    <w:rsid w:val="00D83729"/>
    <w:rsid w:val="00E76E63"/>
    <w:rsid w:val="00E901A2"/>
    <w:rsid w:val="00F31BF6"/>
    <w:rsid w:val="00FA281A"/>
    <w:rsid w:val="00FF2CBF"/>
    <w:rsid w:val="00FF3C26"/>
    <w:rsid w:val="060C5F18"/>
    <w:rsid w:val="068528DC"/>
    <w:rsid w:val="1547761B"/>
    <w:rsid w:val="154849E2"/>
    <w:rsid w:val="1862081B"/>
    <w:rsid w:val="19E045EA"/>
    <w:rsid w:val="1A155813"/>
    <w:rsid w:val="1A50552E"/>
    <w:rsid w:val="1D524ECC"/>
    <w:rsid w:val="1DBF4F60"/>
    <w:rsid w:val="1FEF9E4C"/>
    <w:rsid w:val="25232EDA"/>
    <w:rsid w:val="2802101B"/>
    <w:rsid w:val="2AF17498"/>
    <w:rsid w:val="2B3E664E"/>
    <w:rsid w:val="2CAC35A5"/>
    <w:rsid w:val="2F5C53A4"/>
    <w:rsid w:val="2FEE1421"/>
    <w:rsid w:val="312B6846"/>
    <w:rsid w:val="33787A75"/>
    <w:rsid w:val="36C74378"/>
    <w:rsid w:val="38FE1639"/>
    <w:rsid w:val="3A05436F"/>
    <w:rsid w:val="3AA23577"/>
    <w:rsid w:val="3F36455F"/>
    <w:rsid w:val="413330D4"/>
    <w:rsid w:val="419E4420"/>
    <w:rsid w:val="41B159E1"/>
    <w:rsid w:val="43994489"/>
    <w:rsid w:val="46D631DF"/>
    <w:rsid w:val="47610AA8"/>
    <w:rsid w:val="4DE707AB"/>
    <w:rsid w:val="4E454104"/>
    <w:rsid w:val="50F20854"/>
    <w:rsid w:val="5138404E"/>
    <w:rsid w:val="51C659C1"/>
    <w:rsid w:val="51D153DD"/>
    <w:rsid w:val="568942F4"/>
    <w:rsid w:val="57675590"/>
    <w:rsid w:val="57B4159A"/>
    <w:rsid w:val="5AEF6A51"/>
    <w:rsid w:val="60643429"/>
    <w:rsid w:val="64A817A4"/>
    <w:rsid w:val="6D61557E"/>
    <w:rsid w:val="73CE85FC"/>
    <w:rsid w:val="742E42DC"/>
    <w:rsid w:val="752D53E3"/>
    <w:rsid w:val="76F7264D"/>
    <w:rsid w:val="79F6107D"/>
    <w:rsid w:val="79FE379F"/>
    <w:rsid w:val="7F0FB397"/>
    <w:rsid w:val="7FFBF70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ascii="宋体" w:hAnsi="宋体"/>
      <w:kern w:val="0"/>
      <w:sz w:val="24"/>
    </w:rPr>
  </w:style>
  <w:style w:type="character" w:styleId="9">
    <w:name w:val="Hyperlink"/>
    <w:basedOn w:val="8"/>
    <w:qFormat/>
    <w:uiPriority w:val="0"/>
    <w:rPr>
      <w:color w:val="0000FF"/>
      <w:u w:val="single"/>
    </w:rPr>
  </w:style>
  <w:style w:type="paragraph" w:customStyle="1" w:styleId="10">
    <w:name w:val="List Paragraph"/>
    <w:basedOn w:val="1"/>
    <w:qFormat/>
    <w:uiPriority w:val="34"/>
    <w:pPr>
      <w:ind w:firstLine="420" w:firstLineChars="200"/>
    </w:pPr>
  </w:style>
  <w:style w:type="character" w:customStyle="1" w:styleId="11">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690</Words>
  <Characters>3933</Characters>
  <Lines>32</Lines>
  <Paragraphs>9</Paragraphs>
  <TotalTime>73</TotalTime>
  <ScaleCrop>false</ScaleCrop>
  <LinksUpToDate>false</LinksUpToDate>
  <CharactersWithSpaces>4614</CharactersWithSpaces>
  <Application>WPS Office_11.8.2.1118_F1E327BC-269C-435d-A152-05C5408002CA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2020-06-10T12:03:00Z</dcterms:created>
  <dc:creator>jjx</dc:creator>
  <cp:lastModifiedBy>uos</cp:lastModifiedBy>
  <cp:lastPrinted>2022-05-19T16:46:00Z</cp:lastPrinted>
  <dcterms:modified xsi:type="dcterms:W3CDTF">2022-11-28T15:50:22Z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2052-11.8.2.1118</vt:lpwstr>
  </property>
  <property fmtid="{D5CDD505-2E9C-101B-9397-08002B2CF9AE}" pid="3" name="ICV">
    <vt:lpwstr>FEAED32A33FECE503E68846317998880</vt:lpwstr>
  </property>
</Properties>
</file>