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hint="eastAsia" w:ascii="黑体" w:hAnsi="黑体" w:eastAsia="黑体" w:cs="黑体"/>
          <w:color w:val="000000"/>
          <w:spacing w:val="15"/>
          <w:sz w:val="28"/>
          <w:szCs w:val="28"/>
        </w:rPr>
      </w:pPr>
    </w:p>
    <w:p>
      <w:pPr>
        <w:spacing w:line="530" w:lineRule="exact"/>
        <w:jc w:val="center"/>
        <w:rPr>
          <w:rFonts w:hint="eastAsia" w:ascii="Times New Roman" w:hAnsi="Times New Roman" w:eastAsia="方正小标宋简体" w:cs="Times New Roman"/>
          <w:bCs/>
          <w:color w:val="000000"/>
          <w:spacing w:val="15"/>
          <w:sz w:val="48"/>
          <w:szCs w:val="48"/>
          <w:lang w:val="en-US" w:eastAsia="zh-CN"/>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val="en-US" w:eastAsia="zh-CN"/>
        </w:rPr>
        <w:t>公用事业发展中心</w:t>
      </w:r>
    </w:p>
    <w:p>
      <w:pPr>
        <w:spacing w:line="530" w:lineRule="exact"/>
        <w:jc w:val="center"/>
        <w:rPr>
          <w:rStyle w:val="7"/>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公用事业发展中心</w:t>
      </w:r>
      <w:r>
        <w:rPr>
          <w:rStyle w:val="7"/>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参与拟订全市有关公用事业（包括城市供水、节水、城镇燃气、污水处理等）政策，协助做好组织宣传贯彻工作。2.参与编制市区有关公用事业专项规划、中长期发展规划和年度计划并组织实施。3.承担全市公用事业行业管理的辅助工作。4.指导全市城市供水的节约用水工作以及城市供水管网通达范围内的节约用水工作。5.拟订全市公用事业生产、服务、安全的技术标准和规范并组织实施。6.承担有关公用事业应急处置相关辅助工作。7.完成金华市住房和城乡建设局交办的其他任务。</w:t>
      </w:r>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金华市公用事业发展中心</w:t>
      </w:r>
      <w:r>
        <w:rPr>
          <w:rFonts w:hint="eastAsia" w:ascii="Times New Roman" w:hAnsi="Times New Roman" w:eastAsia="仿宋_GB2312" w:cs="Times New Roman"/>
          <w:bCs/>
          <w:color w:val="000000"/>
          <w:sz w:val="32"/>
          <w:szCs w:val="32"/>
          <w:lang w:eastAsia="zh-CN"/>
        </w:rPr>
        <w:t>隶属</w:t>
      </w:r>
      <w:r>
        <w:rPr>
          <w:rFonts w:hint="default" w:ascii="Times New Roman" w:hAnsi="Times New Roman" w:eastAsia="仿宋_GB2312" w:cs="Times New Roman"/>
          <w:bCs/>
          <w:color w:val="000000"/>
          <w:sz w:val="32"/>
          <w:szCs w:val="32"/>
        </w:rPr>
        <w:t>市住房和城乡建设局，内设办公室、供水节水科、燃气科、污水处理科。2020年6月份机构改革，编制由4人增加到15人，实有人数</w:t>
      </w:r>
      <w:r>
        <w:rPr>
          <w:rFonts w:hint="eastAsia" w:ascii="Times New Roman" w:hAnsi="Times New Roman" w:eastAsia="仿宋_GB2312" w:cs="Times New Roman"/>
          <w:bCs/>
          <w:color w:val="000000"/>
          <w:sz w:val="32"/>
          <w:szCs w:val="32"/>
          <w:lang w:val="en-US" w:eastAsia="zh-CN"/>
        </w:rPr>
        <w:t>4人增加到</w:t>
      </w:r>
      <w:r>
        <w:rPr>
          <w:rFonts w:hint="default" w:ascii="Times New Roman" w:hAnsi="Times New Roman" w:eastAsia="仿宋_GB2312" w:cs="Times New Roman"/>
          <w:bCs/>
          <w:color w:val="000000"/>
          <w:sz w:val="32"/>
          <w:szCs w:val="32"/>
        </w:rPr>
        <w:t>12人</w:t>
      </w:r>
      <w:r>
        <w:rPr>
          <w:rFonts w:hint="eastAsia" w:ascii="Times New Roman" w:hAnsi="Times New Roman" w:eastAsia="仿宋_GB2312" w:cs="Times New Roman"/>
          <w:bCs/>
          <w:color w:val="000000"/>
          <w:sz w:val="32"/>
          <w:szCs w:val="32"/>
          <w:lang w:eastAsia="zh-CN"/>
        </w:rPr>
        <w:t>。</w:t>
      </w:r>
    </w:p>
    <w:p>
      <w:pPr>
        <w:spacing w:line="530" w:lineRule="exact"/>
        <w:ind w:firstLine="645"/>
        <w:rPr>
          <w:rFonts w:ascii="Times New Roman" w:hAnsi="Times New Roman" w:eastAsia="楷体" w:cs="Times New Roman"/>
          <w:b/>
          <w:color w:val="000000"/>
          <w:sz w:val="32"/>
          <w:szCs w:val="32"/>
        </w:rPr>
      </w:pPr>
      <w:r>
        <w:rPr>
          <w:rStyle w:val="7"/>
          <w:rFonts w:hint="default" w:ascii="Times New Roman" w:hAnsi="Times New Roman" w:eastAsia="黑体" w:cs="Times New Roman"/>
          <w:b w:val="0"/>
          <w:color w:val="000000"/>
        </w:rPr>
        <w:t>二、金华市</w:t>
      </w:r>
      <w:r>
        <w:rPr>
          <w:rFonts w:hint="eastAsia" w:ascii="Times New Roman" w:hAnsi="Times New Roman" w:eastAsia="黑体" w:cs="Times New Roman"/>
          <w:b w:val="0"/>
          <w:bCs w:val="0"/>
          <w:color w:val="000000"/>
          <w:sz w:val="32"/>
          <w:szCs w:val="32"/>
          <w:lang w:eastAsia="zh-CN"/>
        </w:rPr>
        <w:t>公用事业发展中心</w:t>
      </w:r>
      <w:r>
        <w:rPr>
          <w:rStyle w:val="7"/>
          <w:rFonts w:hint="default" w:ascii="Times New Roman" w:hAnsi="Times New Roman" w:eastAsia="黑体" w:cs="Times New Roman"/>
          <w:b w:val="0"/>
          <w:color w:val="000000"/>
          <w:lang w:eastAsia="zh-CN"/>
        </w:rPr>
        <w:t>2021</w:t>
      </w:r>
      <w:r>
        <w:rPr>
          <w:rStyle w:val="7"/>
          <w:rFonts w:hint="default" w:ascii="Times New Roman" w:hAnsi="Times New Roman" w:eastAsia="黑体" w:cs="Times New Roman"/>
          <w:b w:val="0"/>
          <w:color w:val="000000"/>
        </w:rPr>
        <w:t>年</w:t>
      </w:r>
      <w:r>
        <w:rPr>
          <w:rStyle w:val="7"/>
          <w:rFonts w:hint="default" w:ascii="Times New Roman" w:hAnsi="Times New Roman" w:eastAsia="黑体" w:cs="Times New Roman"/>
          <w:b w:val="0"/>
          <w:color w:val="000000"/>
          <w:lang w:eastAsia="zh-CN"/>
        </w:rPr>
        <w:t>单位</w:t>
      </w:r>
      <w:r>
        <w:rPr>
          <w:rStyle w:val="7"/>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default" w:ascii="Times New Roman" w:hAnsi="Times New Roman" w:eastAsia="楷体" w:cs="Times New Roman"/>
          <w:b w:val="0"/>
          <w:bCs w:val="0"/>
          <w:color w:val="000000"/>
          <w:sz w:val="32"/>
          <w:szCs w:val="32"/>
          <w:lang w:eastAsia="zh-CN"/>
        </w:rPr>
        <w:t>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r>
        <w:rPr>
          <w:rFonts w:hint="default" w:ascii="Times New Roman" w:hAnsi="Times New Roman" w:eastAsia="仿宋_GB2312" w:cs="Times New Roman"/>
          <w:b w:val="0"/>
          <w:bCs/>
          <w:color w:val="000000"/>
          <w:sz w:val="32"/>
          <w:szCs w:val="32"/>
          <w:lang w:eastAsia="zh-CN"/>
        </w:rPr>
        <w:t>公用事业发展中心</w:t>
      </w:r>
      <w:r>
        <w:rPr>
          <w:rFonts w:hint="default" w:ascii="Times New Roman" w:hAnsi="Times New Roman" w:eastAsia="仿宋_GB2312" w:cs="Times New Roman"/>
          <w:bCs/>
          <w:color w:val="000000"/>
          <w:sz w:val="32"/>
          <w:szCs w:val="32"/>
        </w:rPr>
        <w:t>所有收入和支出均纳入单位预算管理。收入包括：一般公共预算拨款收入；支出包括：教育支出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住房保障支出</w:t>
      </w:r>
      <w:r>
        <w:rPr>
          <w:rFonts w:hint="default" w:ascii="Times New Roman" w:hAnsi="Times New Roman" w:eastAsia="仿宋_GB2312" w:cs="Times New Roman"/>
          <w:bCs/>
          <w:color w:val="000000"/>
          <w:sz w:val="32"/>
          <w:szCs w:val="32"/>
        </w:rPr>
        <w:t>。金华市</w:t>
      </w:r>
      <w:r>
        <w:rPr>
          <w:rFonts w:hint="default" w:ascii="Times New Roman" w:hAnsi="Times New Roman" w:eastAsia="楷体" w:cs="Times New Roman"/>
          <w:b w:val="0"/>
          <w:bCs w:val="0"/>
          <w:color w:val="000000"/>
          <w:sz w:val="32"/>
          <w:szCs w:val="32"/>
          <w:lang w:eastAsia="zh-CN"/>
        </w:rPr>
        <w:t>公用事业发展中心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公用事业发展中心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公用事业发展中心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1.按支出功能分类，包括教育支出</w:t>
      </w:r>
      <w:r>
        <w:rPr>
          <w:rFonts w:hint="eastAsia" w:ascii="Times New Roman" w:hAnsi="Times New Roman" w:eastAsia="仿宋_GB2312" w:cs="Times New Roman"/>
          <w:bCs/>
          <w:color w:val="000000"/>
          <w:sz w:val="32"/>
          <w:szCs w:val="32"/>
          <w:lang w:val="en-US" w:eastAsia="zh-CN"/>
        </w:rPr>
        <w:t>2.27</w:t>
      </w:r>
      <w:r>
        <w:rPr>
          <w:rFonts w:hint="default"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lang w:val="en-US" w:eastAsia="zh-CN"/>
        </w:rPr>
        <w:t>20.9</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lang w:val="en-US" w:eastAsia="zh-CN"/>
        </w:rPr>
        <w:t>8.57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lang w:val="en-US" w:eastAsia="zh-CN"/>
        </w:rPr>
        <w:t>278.6万元、</w:t>
      </w:r>
      <w:r>
        <w:rPr>
          <w:rFonts w:hint="eastAsia"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lang w:val="en-US" w:eastAsia="zh-CN"/>
        </w:rPr>
        <w:t>23.15万元</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215.73</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64.7</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28.78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8.6</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88.98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26.7</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公用事业发展中心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万元；支出包括：教育支出</w:t>
      </w:r>
      <w:r>
        <w:rPr>
          <w:rFonts w:hint="eastAsia" w:ascii="Times New Roman" w:hAnsi="Times New Roman" w:eastAsia="仿宋_GB2312" w:cs="Times New Roman"/>
          <w:bCs/>
          <w:color w:val="000000"/>
          <w:sz w:val="32"/>
          <w:szCs w:val="32"/>
          <w:lang w:val="en-US" w:eastAsia="zh-CN"/>
        </w:rPr>
        <w:t>2.27</w:t>
      </w:r>
      <w:r>
        <w:rPr>
          <w:rFonts w:hint="default"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lang w:val="en-US" w:eastAsia="zh-CN"/>
        </w:rPr>
        <w:t>20.9</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lang w:val="en-US" w:eastAsia="zh-CN"/>
        </w:rPr>
        <w:t>8.57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lang w:val="en-US" w:eastAsia="zh-CN"/>
        </w:rPr>
        <w:t>278.6万元、</w:t>
      </w:r>
      <w:r>
        <w:rPr>
          <w:rFonts w:hint="eastAsia"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lang w:val="en-US" w:eastAsia="zh-CN"/>
        </w:rPr>
        <w:t>23.15万元</w:t>
      </w:r>
      <w:r>
        <w:rPr>
          <w:rFonts w:hint="default" w:ascii="Times New Roman" w:hAnsi="Times New Roman" w:eastAsia="仿宋_GB2312" w:cs="Times New Roman"/>
          <w:bCs/>
          <w:color w:val="000000"/>
          <w:sz w:val="32"/>
          <w:szCs w:val="32"/>
        </w:rPr>
        <w:t>。</w:t>
      </w:r>
    </w:p>
    <w:p>
      <w:pPr>
        <w:numPr>
          <w:ilvl w:val="-1"/>
          <w:numId w:val="0"/>
        </w:numPr>
        <w:spacing w:beforeLines="0" w:afterLines="0" w:line="560" w:lineRule="exact"/>
        <w:ind w:firstLine="640" w:firstLineChars="200"/>
        <w:rPr>
          <w:rFonts w:ascii="Times New Roman" w:hAnsi="Times New Roman" w:eastAsia="楷体" w:cs="Times New Roman"/>
          <w:color w:val="000000"/>
          <w:sz w:val="32"/>
          <w:szCs w:val="32"/>
        </w:rPr>
      </w:pPr>
      <w:r>
        <w:rPr>
          <w:rFonts w:hint="eastAsia" w:ascii="Times New Roman" w:hAnsi="Times New Roman" w:eastAsia="仿宋_GB2312" w:cs="Times New Roman"/>
          <w:bCs/>
          <w:color w:val="000000"/>
          <w:sz w:val="32"/>
          <w:szCs w:val="32"/>
          <w:lang w:eastAsia="zh-CN"/>
        </w:rPr>
        <w:t>（五）</w:t>
      </w: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公用事业发展中心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333.49</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r>
        <w:rPr>
          <w:rFonts w:hint="eastAsia" w:ascii="Times New Roman" w:hAnsi="Times New Roman" w:eastAsia="仿宋_GB2312" w:cs="Times New Roman"/>
          <w:bCs/>
          <w:color w:val="000000"/>
          <w:sz w:val="32"/>
          <w:szCs w:val="32"/>
          <w:lang w:val="en-US" w:eastAsia="zh-CN"/>
        </w:rPr>
        <w:t>130.77</w:t>
      </w:r>
      <w:r>
        <w:rPr>
          <w:rFonts w:hint="default" w:ascii="Times New Roman" w:hAnsi="Times New Roman" w:eastAsia="仿宋_GB2312" w:cs="Times New Roman"/>
          <w:bCs/>
          <w:color w:val="000000"/>
          <w:sz w:val="32"/>
          <w:szCs w:val="32"/>
        </w:rPr>
        <w:t>万元，主要是2020年6月份机构改革，编制由4人增加到15人，实有人数</w:t>
      </w:r>
      <w:r>
        <w:rPr>
          <w:rFonts w:hint="eastAsia" w:ascii="Times New Roman" w:hAnsi="Times New Roman" w:eastAsia="仿宋_GB2312" w:cs="Times New Roman"/>
          <w:bCs/>
          <w:color w:val="000000"/>
          <w:sz w:val="32"/>
          <w:szCs w:val="32"/>
          <w:lang w:val="en-US" w:eastAsia="zh-CN"/>
        </w:rPr>
        <w:t>4人</w:t>
      </w:r>
      <w:r>
        <w:rPr>
          <w:rFonts w:hint="default" w:ascii="Times New Roman" w:hAnsi="Times New Roman" w:eastAsia="仿宋_GB2312" w:cs="Times New Roman"/>
          <w:bCs/>
          <w:color w:val="000000"/>
          <w:sz w:val="32"/>
          <w:szCs w:val="32"/>
        </w:rPr>
        <w:t>增加到12人</w:t>
      </w:r>
      <w:r>
        <w:rPr>
          <w:rFonts w:hint="eastAsia" w:ascii="Times New Roman" w:hAnsi="Times New Roman" w:eastAsia="仿宋_GB2312" w:cs="Times New Roman"/>
          <w:bCs/>
          <w:color w:val="000000"/>
          <w:sz w:val="32"/>
          <w:szCs w:val="32"/>
          <w:lang w:eastAsia="zh-CN"/>
        </w:rPr>
        <w:t>，基本支出增加</w:t>
      </w:r>
      <w:r>
        <w:rPr>
          <w:rFonts w:hint="eastAsia" w:ascii="Times New Roman" w:hAnsi="Times New Roman" w:eastAsia="仿宋_GB2312" w:cs="Times New Roman"/>
          <w:bCs/>
          <w:color w:val="000000"/>
          <w:sz w:val="32"/>
          <w:szCs w:val="32"/>
          <w:lang w:val="en-US" w:eastAsia="zh-CN"/>
        </w:rPr>
        <w:t>106.4万元；2021年国家节水型城市复查，项目支出增加24.37万元</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教育支出</w:t>
      </w:r>
      <w:r>
        <w:rPr>
          <w:rFonts w:hint="eastAsia" w:ascii="Times New Roman" w:hAnsi="Times New Roman" w:eastAsia="仿宋_GB2312" w:cs="Times New Roman"/>
          <w:bCs/>
          <w:color w:val="000000"/>
          <w:sz w:val="32"/>
          <w:szCs w:val="32"/>
          <w:lang w:val="en-US" w:eastAsia="zh-CN"/>
        </w:rPr>
        <w:t>2.27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0.7</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20.9</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6.3</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lang w:val="en-US" w:eastAsia="zh-CN"/>
        </w:rPr>
        <w:t>8.57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2.6</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lang w:val="en-US" w:eastAsia="zh-CN"/>
        </w:rPr>
        <w:t>278.6万元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83.5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lang w:val="en-US" w:eastAsia="zh-CN"/>
        </w:rPr>
        <w:t>23.15万元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6.9</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（1）教育支出</w:t>
      </w:r>
      <w:r>
        <w:rPr>
          <w:rFonts w:hint="eastAsia" w:ascii="Times New Roman" w:hAnsi="Times New Roman" w:eastAsia="仿宋_GB2312" w:cs="Times New Roman"/>
          <w:bCs/>
          <w:color w:val="000000"/>
          <w:sz w:val="32"/>
          <w:szCs w:val="32"/>
          <w:lang w:eastAsia="zh-CN"/>
        </w:rPr>
        <w:t>（类）进修及培训（款）培训支出（项）</w:t>
      </w:r>
      <w:r>
        <w:rPr>
          <w:rFonts w:hint="eastAsia" w:ascii="Times New Roman" w:hAnsi="Times New Roman" w:eastAsia="仿宋_GB2312" w:cs="Times New Roman"/>
          <w:bCs/>
          <w:color w:val="000000"/>
          <w:sz w:val="32"/>
          <w:szCs w:val="32"/>
          <w:lang w:val="en-US" w:eastAsia="zh-CN"/>
        </w:rPr>
        <w:t>2.27</w:t>
      </w:r>
      <w:r>
        <w:rPr>
          <w:rFonts w:hint="default"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lang w:eastAsia="zh-CN"/>
        </w:rPr>
        <w:t>培训支出</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（2）社会保障和就业支出（类）行政事业单位养老支出（款）机关事业单位职业年金缴费支出（项）</w:t>
      </w:r>
      <w:r>
        <w:rPr>
          <w:rFonts w:hint="eastAsia" w:ascii="Times New Roman" w:hAnsi="Times New Roman" w:eastAsia="仿宋_GB2312" w:cs="Times New Roman"/>
          <w:bCs/>
          <w:color w:val="000000"/>
          <w:sz w:val="32"/>
          <w:szCs w:val="32"/>
          <w:lang w:val="en-US" w:eastAsia="zh-CN"/>
        </w:rPr>
        <w:t>6.97</w:t>
      </w:r>
      <w:r>
        <w:rPr>
          <w:rFonts w:hint="default"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lang w:eastAsia="zh-CN"/>
        </w:rPr>
        <w:t>单位实际缴纳的职业年金支出</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3</w:t>
      </w:r>
      <w:r>
        <w:rPr>
          <w:rFonts w:hint="eastAsia" w:ascii="Times New Roman" w:hAnsi="Times New Roman" w:eastAsia="仿宋_GB2312" w:cs="Times New Roman"/>
          <w:bCs/>
          <w:color w:val="000000"/>
          <w:sz w:val="32"/>
          <w:szCs w:val="32"/>
          <w:lang w:eastAsia="zh-CN"/>
        </w:rPr>
        <w:t>）社会保障和就业支出（类）行政事业单位养老支出（款）机关事业单位基本养老保险缴费支出（项）</w:t>
      </w:r>
      <w:r>
        <w:rPr>
          <w:rFonts w:hint="eastAsia" w:ascii="Times New Roman" w:hAnsi="Times New Roman" w:eastAsia="仿宋_GB2312" w:cs="Times New Roman"/>
          <w:bCs/>
          <w:color w:val="000000"/>
          <w:sz w:val="32"/>
          <w:szCs w:val="32"/>
          <w:lang w:val="en-US" w:eastAsia="zh-CN"/>
        </w:rPr>
        <w:t>13.93万元，主要用于单位缴纳的基本养老保险费支出。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（4）卫生健康支出（类）行政事业单位医疗（款）事业单位医疗（项）8.57万元，主要用于单位基本医疗保险费支出。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（5）城乡社区支出（类）其他城乡社区支出（款）其他城乡社区支出（项）278.6万元，主要用于其他城乡社区管理事务方面的支出。</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（6）住房保障支出（类）住房改革支出（款）住房公积金（项）23.15万元，主要用于单位按人力资源和社会保障部、财政部规定的基本工资和津贴补贴以及规定比例为职工缴纳的住房公积金。</w:t>
      </w:r>
      <w:bookmarkStart w:id="0" w:name="_GoBack"/>
      <w:bookmarkEnd w:id="0"/>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公用事业发展中心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244.51</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215.73</w:t>
      </w:r>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退休费、其他对个人和家庭的补助</w:t>
      </w:r>
      <w:r>
        <w:rPr>
          <w:rFonts w:hint="default" w:ascii="Times New Roman" w:hAnsi="Times New Roman" w:eastAsia="仿宋_GB2312" w:cs="Times New Roman"/>
          <w:b w:val="0"/>
          <w:bCs w:val="0"/>
          <w:color w:val="000000"/>
          <w:sz w:val="32"/>
          <w:szCs w:val="32"/>
          <w:shd w:val="clear" w:color="auto" w:fill="auto"/>
          <w:lang w:eastAsia="zh-CN"/>
        </w:rPr>
        <w:t>；</w:t>
      </w:r>
    </w:p>
    <w:p>
      <w:pPr>
        <w:spacing w:beforeLines="0" w:afterLines="0" w:line="560" w:lineRule="exact"/>
        <w:ind w:firstLine="640" w:firstLineChars="200"/>
        <w:rPr>
          <w:rFonts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28.78</w:t>
      </w:r>
      <w:r>
        <w:rPr>
          <w:rFonts w:hint="default" w:ascii="Times New Roman" w:hAnsi="Times New Roman" w:eastAsia="仿宋_GB2312" w:cs="Times New Roman"/>
          <w:color w:val="000000"/>
          <w:sz w:val="32"/>
          <w:szCs w:val="32"/>
        </w:rPr>
        <w:t>万元，主要包括：办公费、培训费、公务接待费、工会经费、福利费、公务用车运行维护费、其他商品和服务支出、办公设备购置</w:t>
      </w:r>
      <w:r>
        <w:rPr>
          <w:rFonts w:hint="default" w:ascii="Times New Roman" w:hAnsi="Times New Roman" w:eastAsia="仿宋_GB2312" w:cs="Times New Roman"/>
          <w:color w:val="000000"/>
          <w:sz w:val="32"/>
          <w:szCs w:val="32"/>
          <w:shd w:val="clear" w:color="auto" w:fill="auto"/>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公用事业发展中心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金华市公用事业发展中心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公用事业发展中心</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4.8</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年执行数增加</w:t>
      </w:r>
      <w:r>
        <w:rPr>
          <w:rFonts w:hint="eastAsia" w:ascii="Times New Roman" w:hAnsi="Times New Roman" w:eastAsia="仿宋_GB2312" w:cs="Times New Roman"/>
          <w:sz w:val="32"/>
          <w:szCs w:val="20"/>
          <w:lang w:val="en-US" w:eastAsia="zh-CN"/>
        </w:rPr>
        <w:t>4.5</w:t>
      </w:r>
      <w:r>
        <w:rPr>
          <w:rFonts w:hint="default" w:ascii="Times New Roman" w:hAnsi="Times New Roman" w:eastAsia="仿宋_GB2312" w:cs="Times New Roman"/>
          <w:sz w:val="32"/>
          <w:szCs w:val="20"/>
          <w:shd w:val="clear" w:color="auto" w:fill="FFFFFF"/>
        </w:rPr>
        <w:t>万元，增长</w:t>
      </w:r>
      <w:r>
        <w:rPr>
          <w:rFonts w:hint="eastAsia" w:ascii="Times New Roman" w:hAnsi="Times New Roman" w:eastAsia="仿宋_GB2312" w:cs="Times New Roman"/>
          <w:sz w:val="32"/>
          <w:szCs w:val="20"/>
          <w:shd w:val="clear" w:color="auto" w:fill="FFFFFF"/>
          <w:lang w:val="en-US" w:eastAsia="zh-CN"/>
        </w:rPr>
        <w:t>1500</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line="560" w:lineRule="exact"/>
        <w:ind w:firstLine="640"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b w:val="0"/>
          <w:kern w:val="2"/>
          <w:sz w:val="32"/>
          <w:szCs w:val="32"/>
        </w:rPr>
        <w:t>1.因公出国（境）费用：</w:t>
      </w:r>
      <w:r>
        <w:rPr>
          <w:rFonts w:ascii="Times New Roman" w:hAnsi="Times New Roman" w:eastAsia="仿宋_GB2312" w:cs="Times New Roman"/>
          <w:color w:val="000000"/>
          <w:sz w:val="32"/>
          <w:szCs w:val="32"/>
        </w:rPr>
        <w:t>2021</w:t>
      </w:r>
      <w:r>
        <w:rPr>
          <w:rFonts w:hint="eastAsia" w:ascii="Times New Roman" w:hAnsi="Times New Roman" w:eastAsia="仿宋_GB2312" w:cs="Times New Roman"/>
          <w:color w:val="000000"/>
          <w:sz w:val="32"/>
          <w:szCs w:val="32"/>
        </w:rPr>
        <w:t>年单</w:t>
      </w:r>
      <w:r>
        <w:rPr>
          <w:rFonts w:ascii="Times New Roman" w:hAnsi="Times New Roman" w:eastAsia="仿宋_GB2312" w:cs="Times New Roman"/>
          <w:color w:val="000000"/>
          <w:sz w:val="32"/>
          <w:szCs w:val="32"/>
        </w:rPr>
        <w:t>位预算未安排</w:t>
      </w:r>
      <w:r>
        <w:rPr>
          <w:rFonts w:ascii="Times New Roman" w:hAnsi="Times New Roman" w:eastAsia="仿宋_GB2312" w:cs="Times New Roman"/>
          <w:color w:val="000000"/>
          <w:kern w:val="0"/>
          <w:sz w:val="32"/>
          <w:szCs w:val="32"/>
        </w:rPr>
        <w:t>因公出国（境）费用，比上年执行数下降100%，年中将根据</w:t>
      </w:r>
      <w:r>
        <w:rPr>
          <w:rFonts w:ascii="Times New Roman" w:hAnsi="Times New Roman" w:eastAsia="仿宋_GB2312" w:cs="Times New Roman"/>
          <w:color w:val="000000"/>
          <w:sz w:val="32"/>
          <w:szCs w:val="32"/>
        </w:rPr>
        <w:t>市外事侨务办安排的因公出国计划和实际工作需要追加指标。</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0.8</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rPr>
        <w:t>公务接待费预算</w:t>
      </w:r>
      <w:r>
        <w:rPr>
          <w:rFonts w:hint="eastAsia" w:ascii="Times New Roman" w:hAnsi="Times New Roman" w:eastAsia="仿宋_GB2312" w:cs="Times New Roman"/>
          <w:color w:val="000000"/>
          <w:sz w:val="32"/>
          <w:szCs w:val="32"/>
          <w:lang w:val="en-US" w:eastAsia="zh-CN"/>
        </w:rPr>
        <w:t>0.3</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比上年执行数增长</w:t>
      </w:r>
      <w:r>
        <w:rPr>
          <w:rFonts w:hint="eastAsia" w:ascii="Times New Roman" w:hAnsi="Times New Roman" w:eastAsia="仿宋_GB2312" w:cs="Times New Roman"/>
          <w:sz w:val="32"/>
          <w:szCs w:val="32"/>
          <w:lang w:val="en-US" w:eastAsia="zh-CN"/>
        </w:rPr>
        <w:t>166</w:t>
      </w:r>
      <w:r>
        <w:rPr>
          <w:rFonts w:hint="default"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lang w:eastAsia="zh-CN"/>
        </w:rPr>
        <w:t>公务</w:t>
      </w:r>
      <w:r>
        <w:rPr>
          <w:rFonts w:hint="default" w:ascii="Times New Roman" w:hAnsi="Times New Roman" w:eastAsia="仿宋_GB2312" w:cs="Times New Roman"/>
          <w:sz w:val="32"/>
          <w:szCs w:val="32"/>
        </w:rPr>
        <w:t>支出。增加的主要原因是</w:t>
      </w:r>
      <w:r>
        <w:rPr>
          <w:rFonts w:hint="eastAsia" w:ascii="Times New Roman" w:hAnsi="Times New Roman" w:eastAsia="仿宋_GB2312" w:cs="Times New Roman"/>
          <w:sz w:val="32"/>
          <w:szCs w:val="32"/>
          <w:lang w:eastAsia="zh-CN"/>
        </w:rPr>
        <w:t>机构改革后单位职能及业务范围扩大，需要增加公务接待费</w:t>
      </w:r>
      <w:r>
        <w:rPr>
          <w:rFonts w:hint="default" w:ascii="Times New Roman" w:hAnsi="Times New Roman" w:eastAsia="仿宋_GB2312" w:cs="Times New Roman"/>
          <w:sz w:val="32"/>
          <w:szCs w:val="32"/>
        </w:rPr>
        <w:t>。</w:t>
      </w:r>
    </w:p>
    <w:p>
      <w:pPr>
        <w:pStyle w:val="10"/>
        <w:widowControl w:val="0"/>
        <w:spacing w:beforeLines="0" w:afterLines="0" w:line="560" w:lineRule="exact"/>
        <w:ind w:firstLine="640" w:firstLineChars="200"/>
        <w:rPr>
          <w:rFonts w:hint="default" w:ascii="Times New Roman" w:eastAsia="仿宋_GB2312"/>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ascii="Times New Roman" w:eastAsia="仿宋_GB2312"/>
          <w:color w:val="000000"/>
          <w:sz w:val="32"/>
          <w:szCs w:val="32"/>
          <w:lang w:val="en-US" w:eastAsia="zh-CN"/>
        </w:rPr>
        <w:t>4</w:t>
      </w:r>
      <w:r>
        <w:rPr>
          <w:rFonts w:hint="default" w:ascii="Times New Roman" w:eastAsia="仿宋_GB2312"/>
          <w:sz w:val="32"/>
          <w:szCs w:val="32"/>
        </w:rPr>
        <w:t>万元，比上年执行数增长（下降）</w:t>
      </w:r>
      <w:r>
        <w:rPr>
          <w:rFonts w:hint="eastAsia" w:ascii="Times New Roman" w:eastAsia="仿宋_GB2312"/>
          <w:color w:val="000000"/>
          <w:sz w:val="32"/>
          <w:szCs w:val="32"/>
          <w:lang w:val="en-US" w:eastAsia="zh-CN"/>
        </w:rPr>
        <w:t>100</w:t>
      </w:r>
      <w:r>
        <w:rPr>
          <w:rFonts w:hint="default" w:ascii="Times New Roman" w:eastAsia="仿宋_GB2312"/>
          <w:sz w:val="32"/>
          <w:szCs w:val="32"/>
        </w:rPr>
        <w:t>%。其中，公务用车购置支出</w:t>
      </w:r>
      <w:r>
        <w:rPr>
          <w:rFonts w:hint="eastAsia" w:ascii="Times New Roman" w:eastAsia="仿宋_GB2312"/>
          <w:color w:val="000000"/>
          <w:sz w:val="32"/>
          <w:szCs w:val="32"/>
          <w:lang w:val="en-US" w:eastAsia="zh-CN"/>
        </w:rPr>
        <w:t>0</w:t>
      </w:r>
      <w:r>
        <w:rPr>
          <w:rFonts w:hint="default" w:ascii="Times New Roman" w:eastAsia="仿宋_GB2312"/>
          <w:sz w:val="32"/>
          <w:szCs w:val="32"/>
        </w:rPr>
        <w:t>万元（含购置税等附加费用），主要用于经批准购置的</w:t>
      </w:r>
      <w:r>
        <w:rPr>
          <w:rFonts w:hint="eastAsia" w:ascii="Times New Roman" w:eastAsia="仿宋_GB2312"/>
          <w:color w:val="000000"/>
          <w:sz w:val="32"/>
          <w:szCs w:val="32"/>
          <w:lang w:val="en-US" w:eastAsia="zh-CN"/>
        </w:rPr>
        <w:t>0</w:t>
      </w:r>
      <w:r>
        <w:rPr>
          <w:rFonts w:hint="default" w:ascii="Times New Roman" w:eastAsia="仿宋_GB2312"/>
          <w:sz w:val="32"/>
          <w:szCs w:val="32"/>
        </w:rPr>
        <w:t>辆公务用车；公务用车运行维护费支出</w:t>
      </w:r>
      <w:r>
        <w:rPr>
          <w:rFonts w:hint="eastAsia" w:ascii="Times New Roman" w:eastAsia="仿宋_GB2312"/>
          <w:color w:val="000000"/>
          <w:sz w:val="32"/>
          <w:szCs w:val="32"/>
          <w:lang w:val="en-US" w:eastAsia="zh-CN"/>
        </w:rPr>
        <w:t>4</w:t>
      </w:r>
      <w:r>
        <w:rPr>
          <w:rFonts w:hint="default" w:ascii="Times New Roman" w:eastAsia="仿宋_GB2312"/>
          <w:sz w:val="32"/>
          <w:szCs w:val="32"/>
        </w:rPr>
        <w:t>万元，主要用于所需的公务用车燃料费、维修费、过桥过路费、保险费、安全奖励费用等支出。增加的主要原因是</w:t>
      </w:r>
      <w:r>
        <w:rPr>
          <w:rFonts w:hint="eastAsia" w:eastAsia="仿宋_GB2312"/>
          <w:sz w:val="32"/>
          <w:szCs w:val="32"/>
          <w:lang w:eastAsia="zh-CN"/>
        </w:rPr>
        <w:t>机构改革单位从其他单位调剂公务用车一辆</w:t>
      </w:r>
      <w:r>
        <w:rPr>
          <w:rFonts w:hint="default" w:ascii="Times New Roman" w:eastAsia="仿宋_GB2312"/>
          <w:sz w:val="32"/>
          <w:szCs w:val="32"/>
        </w:rPr>
        <w:t>。</w:t>
      </w:r>
    </w:p>
    <w:p>
      <w:pPr>
        <w:spacing w:line="530" w:lineRule="exact"/>
        <w:ind w:firstLine="0" w:firstLineChars="0"/>
        <w:rPr>
          <w:rFonts w:ascii="Times New Roman" w:hAnsi="Times New Roman" w:eastAsia="楷体" w:cs="Times New Roman"/>
          <w:color w:val="000000"/>
          <w:sz w:val="32"/>
          <w:szCs w:val="32"/>
        </w:rPr>
      </w:pPr>
      <w:r>
        <w:rPr>
          <w:rFonts w:hint="eastAsia" w:eastAsia="仿宋_GB2312"/>
          <w:sz w:val="32"/>
          <w:szCs w:val="32"/>
          <w:lang w:val="en-US" w:eastAsia="zh-CN"/>
        </w:rPr>
        <w:t xml:space="preserve">  </w:t>
      </w:r>
      <w:r>
        <w:rPr>
          <w:rFonts w:hint="default" w:ascii="Times New Roman" w:hAnsi="Times New Roman" w:eastAsia="楷体" w:cs="Times New Roman"/>
          <w:color w:val="000000"/>
          <w:sz w:val="32"/>
          <w:szCs w:val="32"/>
        </w:rPr>
        <w:t>（九）其他重要事项的情况说明</w:t>
      </w:r>
    </w:p>
    <w:p>
      <w:pPr>
        <w:pStyle w:val="10"/>
        <w:widowControl w:val="0"/>
        <w:numPr>
          <w:ilvl w:val="-1"/>
          <w:numId w:val="0"/>
        </w:numPr>
        <w:spacing w:beforeLines="0" w:afterLines="0" w:line="560" w:lineRule="exact"/>
        <w:ind w:left="630" w:firstLine="0" w:firstLineChars="0"/>
        <w:rPr>
          <w:rFonts w:ascii="Times New Roman" w:eastAsia="仿宋_GB2312"/>
          <w:b/>
          <w:bCs/>
          <w:sz w:val="32"/>
          <w:szCs w:val="32"/>
        </w:rPr>
      </w:pPr>
      <w:r>
        <w:rPr>
          <w:rFonts w:hint="eastAsia" w:eastAsia="仿宋_GB2312"/>
          <w:b/>
          <w:bCs/>
          <w:sz w:val="32"/>
          <w:szCs w:val="32"/>
          <w:lang w:val="en-US" w:eastAsia="zh-CN"/>
        </w:rPr>
        <w:t>1.</w:t>
      </w:r>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公用事业发展中心</w:t>
      </w:r>
      <w:r>
        <w:rPr>
          <w:rFonts w:hint="default" w:ascii="Times New Roman" w:eastAsia="仿宋_GB2312"/>
          <w:color w:val="000000"/>
          <w:sz w:val="32"/>
          <w:szCs w:val="32"/>
        </w:rPr>
        <w:t>采购预算总额</w:t>
      </w:r>
      <w:r>
        <w:rPr>
          <w:rFonts w:hint="eastAsia" w:eastAsia="仿宋_GB2312"/>
          <w:color w:val="000000"/>
          <w:sz w:val="32"/>
          <w:szCs w:val="32"/>
          <w:lang w:val="en-US" w:eastAsia="zh-CN"/>
        </w:rPr>
        <w:t>0</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万元、政府采购工程预算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0</w:t>
      </w:r>
      <w:r>
        <w:rPr>
          <w:rFonts w:hint="default" w:ascii="Times New Roman" w:eastAsia="仿宋_GB2312"/>
          <w:color w:val="000000"/>
          <w:sz w:val="32"/>
          <w:szCs w:val="32"/>
        </w:rPr>
        <w:t>万元。</w:t>
      </w:r>
    </w:p>
    <w:p>
      <w:pPr>
        <w:pStyle w:val="10"/>
        <w:widowControl w:val="0"/>
        <w:spacing w:beforeLines="0" w:afterLines="0" w:line="560" w:lineRule="exact"/>
        <w:ind w:firstLine="643" w:firstLineChars="200"/>
        <w:rPr>
          <w:rFonts w:ascii="Times New Roman" w:eastAsia="仿宋_GB2312"/>
          <w:sz w:val="32"/>
          <w:szCs w:val="32"/>
        </w:rPr>
      </w:pPr>
      <w:r>
        <w:rPr>
          <w:rFonts w:hint="eastAsia" w:eastAsia="仿宋_GB2312"/>
          <w:b/>
          <w:bCs/>
          <w:sz w:val="32"/>
          <w:szCs w:val="32"/>
          <w:lang w:val="en-US" w:eastAsia="zh-CN"/>
        </w:rPr>
        <w:t>2</w:t>
      </w:r>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auto"/>
          <w:spacing w:val="6"/>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公用事业发展中心</w:t>
      </w:r>
      <w:r>
        <w:rPr>
          <w:rFonts w:hint="default"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b w:val="0"/>
          <w:bCs w:val="0"/>
          <w:color w:val="auto"/>
          <w:spacing w:val="6"/>
          <w:sz w:val="32"/>
          <w:szCs w:val="32"/>
        </w:rPr>
        <w:t>单位价值50万元以上通用设备0台（套），单位价值100万元以上专用设备0台（套）</w:t>
      </w:r>
      <w:r>
        <w:rPr>
          <w:rFonts w:hint="default" w:ascii="Times New Roman" w:hAnsi="Times New Roman" w:eastAsia="仿宋_GB2312" w:cs="Times New Roman"/>
          <w:b w:val="0"/>
          <w:bCs w:val="0"/>
          <w:color w:val="auto"/>
          <w:spacing w:val="6"/>
          <w:sz w:val="32"/>
          <w:szCs w:val="32"/>
          <w:lang w:eastAsia="zh-CN"/>
        </w:rPr>
        <w:t>。</w:t>
      </w:r>
    </w:p>
    <w:p>
      <w:pPr>
        <w:pStyle w:val="10"/>
        <w:widowControl w:val="0"/>
        <w:spacing w:beforeLines="0" w:afterLines="0" w:line="560" w:lineRule="exact"/>
        <w:ind w:firstLine="643" w:firstLineChars="200"/>
        <w:rPr>
          <w:rFonts w:ascii="Times New Roman" w:eastAsia="仿宋_GB2312"/>
          <w:b/>
          <w:bCs/>
          <w:sz w:val="32"/>
          <w:szCs w:val="32"/>
        </w:rPr>
      </w:pPr>
      <w:r>
        <w:rPr>
          <w:rFonts w:hint="eastAsia" w:eastAsia="仿宋_GB2312"/>
          <w:b/>
          <w:bCs/>
          <w:sz w:val="32"/>
          <w:szCs w:val="32"/>
          <w:lang w:val="en-US" w:eastAsia="zh-CN"/>
        </w:rPr>
        <w:t>3</w:t>
      </w:r>
      <w:r>
        <w:rPr>
          <w:rFonts w:hint="default" w:ascii="Times New Roman" w:eastAsia="仿宋_GB2312"/>
          <w:b/>
          <w:bCs/>
          <w:sz w:val="32"/>
          <w:szCs w:val="32"/>
        </w:rPr>
        <w:t>.绩效目标设置情况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公用事业发展中心</w:t>
      </w:r>
      <w:r>
        <w:rPr>
          <w:rFonts w:hint="default" w:ascii="Times New Roman" w:eastAsia="仿宋_GB2312"/>
          <w:color w:val="000000"/>
          <w:sz w:val="32"/>
          <w:szCs w:val="32"/>
          <w:highlight w:val="none"/>
        </w:rPr>
        <w:t>运转类项目实行绩效目标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88.98</w:t>
      </w:r>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hint="default" w:eastAsia="仿宋_GB2312"/>
          <w:b w:val="0"/>
          <w:bCs w:val="0"/>
          <w:color w:val="000000"/>
          <w:sz w:val="32"/>
          <w:szCs w:val="32"/>
          <w:highlight w:val="none"/>
          <w:shd w:val="clear" w:color="auto" w:fill="auto"/>
          <w:lang w:eastAsia="zh-CN"/>
        </w:rPr>
      </w:pPr>
      <w:r>
        <w:rPr>
          <w:rFonts w:hint="default" w:ascii="Times New Roman" w:eastAsia="仿宋_GB2312"/>
          <w:bCs/>
          <w:sz w:val="32"/>
          <w:szCs w:val="32"/>
          <w:highlight w:val="none"/>
        </w:rPr>
        <w:t>⑵重点项目情况</w:t>
      </w:r>
      <w:r>
        <w:rPr>
          <w:rFonts w:hint="default" w:eastAsia="仿宋_GB2312"/>
          <w:b w:val="0"/>
          <w:bCs w:val="0"/>
          <w:color w:val="000000"/>
          <w:sz w:val="32"/>
          <w:szCs w:val="32"/>
          <w:highlight w:val="none"/>
          <w:shd w:val="clear" w:color="auto" w:fill="auto"/>
          <w:lang w:eastAsia="zh-CN"/>
        </w:rPr>
        <w:t>：</w:t>
      </w:r>
    </w:p>
    <w:p>
      <w:pPr>
        <w:pStyle w:val="10"/>
        <w:widowControl w:val="0"/>
        <w:spacing w:beforeLines="0" w:afterLines="0" w:line="560" w:lineRule="exact"/>
        <w:ind w:firstLine="640" w:firstLineChars="200"/>
        <w:rPr>
          <w:rFonts w:hint="eastAsia" w:eastAsia="仿宋_GB2312"/>
          <w:b w:val="0"/>
          <w:bCs w:val="0"/>
          <w:color w:val="000000"/>
          <w:sz w:val="32"/>
          <w:szCs w:val="32"/>
          <w:shd w:val="clear"/>
          <w:lang w:eastAsia="zh-CN"/>
        </w:rPr>
      </w:pPr>
      <w:r>
        <w:rPr>
          <w:rFonts w:hint="eastAsia" w:eastAsia="仿宋_GB2312"/>
          <w:b w:val="0"/>
          <w:bCs w:val="0"/>
          <w:color w:val="000000"/>
          <w:sz w:val="32"/>
          <w:szCs w:val="32"/>
          <w:shd w:val="clear"/>
          <w:lang w:eastAsia="zh-CN"/>
        </w:rPr>
        <w:t>其他城乡社区管理事务支出</w:t>
      </w:r>
      <w:r>
        <w:rPr>
          <w:rFonts w:hint="eastAsia" w:eastAsia="仿宋_GB2312"/>
          <w:b w:val="0"/>
          <w:bCs w:val="0"/>
          <w:color w:val="000000"/>
          <w:sz w:val="32"/>
          <w:szCs w:val="32"/>
          <w:shd w:val="clear"/>
          <w:lang w:val="en-US" w:eastAsia="zh-CN"/>
        </w:rPr>
        <w:t>65.28</w:t>
      </w:r>
      <w:r>
        <w:rPr>
          <w:rFonts w:hint="default" w:eastAsia="仿宋_GB2312"/>
          <w:b w:val="0"/>
          <w:bCs w:val="0"/>
          <w:color w:val="000000"/>
          <w:sz w:val="32"/>
          <w:szCs w:val="32"/>
          <w:highlight w:val="none"/>
          <w:shd w:val="clear"/>
          <w:lang w:val="en-US" w:eastAsia="zh-CN"/>
        </w:rPr>
        <w:t>万元，</w:t>
      </w:r>
      <w:r>
        <w:rPr>
          <w:rFonts w:hint="default" w:eastAsia="仿宋_GB2312"/>
          <w:b w:val="0"/>
          <w:bCs w:val="0"/>
          <w:color w:val="000000"/>
          <w:sz w:val="32"/>
          <w:szCs w:val="32"/>
          <w:shd w:val="clear"/>
          <w:lang w:eastAsia="zh-CN"/>
        </w:rPr>
        <w:t>根据国家住房城乡建设部、国家发改委《关于全面开展创建节水型城市活动的通知》、《国家节水型城市申报与考核办法》《国家节水型城市考核标准》（建城（2018）25号）、金华市区节水型城市创建工作领导小组办公室关于印发《金华市迎接国家节水型城市复查工作实施方案》的通知 金市创发（2020）2号</w:t>
      </w:r>
      <w:r>
        <w:rPr>
          <w:rFonts w:hint="eastAsia" w:eastAsia="仿宋_GB2312"/>
          <w:b w:val="0"/>
          <w:bCs w:val="0"/>
          <w:color w:val="000000"/>
          <w:sz w:val="32"/>
          <w:szCs w:val="32"/>
          <w:shd w:val="clear"/>
          <w:lang w:eastAsia="zh-CN"/>
        </w:rPr>
        <w:t>，以创建节水型城市为契机，进一步强化全民节水意识，落实城市节水制度，提高供水节水效率，确保水资源的科学开发和有效利用，使各项节水指标达到节水型城市考核、复核标准。</w:t>
      </w:r>
    </w:p>
    <w:p>
      <w:pPr>
        <w:pStyle w:val="10"/>
        <w:widowControl w:val="0"/>
        <w:spacing w:beforeLines="0" w:afterLines="0" w:line="560" w:lineRule="exact"/>
        <w:ind w:firstLine="640" w:firstLineChars="200"/>
        <w:rPr>
          <w:rFonts w:hint="eastAsia" w:eastAsia="仿宋_GB2312"/>
          <w:b w:val="0"/>
          <w:bCs w:val="0"/>
          <w:color w:val="000000"/>
          <w:sz w:val="32"/>
          <w:szCs w:val="32"/>
          <w:shd w:val="clear"/>
          <w:lang w:eastAsia="zh-CN"/>
        </w:rPr>
      </w:pPr>
      <w:r>
        <w:rPr>
          <w:rFonts w:hint="eastAsia" w:eastAsia="仿宋_GB2312"/>
          <w:b w:val="0"/>
          <w:bCs w:val="0"/>
          <w:color w:val="000000"/>
          <w:sz w:val="32"/>
          <w:szCs w:val="32"/>
          <w:shd w:val="clear"/>
          <w:lang w:eastAsia="zh-CN"/>
        </w:rPr>
        <w:t>其他城乡社区管理事务支出</w:t>
      </w:r>
      <w:r>
        <w:rPr>
          <w:rFonts w:hint="eastAsia" w:eastAsia="仿宋_GB2312"/>
          <w:b w:val="0"/>
          <w:bCs w:val="0"/>
          <w:color w:val="000000"/>
          <w:sz w:val="32"/>
          <w:szCs w:val="32"/>
          <w:shd w:val="clear"/>
          <w:lang w:val="en-US" w:eastAsia="zh-CN"/>
        </w:rPr>
        <w:t>23.7</w:t>
      </w:r>
      <w:r>
        <w:rPr>
          <w:rFonts w:hint="default" w:eastAsia="仿宋_GB2312"/>
          <w:b w:val="0"/>
          <w:bCs w:val="0"/>
          <w:color w:val="000000"/>
          <w:sz w:val="32"/>
          <w:szCs w:val="32"/>
          <w:highlight w:val="none"/>
          <w:shd w:val="clear"/>
          <w:lang w:val="en-US" w:eastAsia="zh-CN"/>
        </w:rPr>
        <w:t>万元</w:t>
      </w:r>
      <w:r>
        <w:rPr>
          <w:rFonts w:hint="eastAsia" w:eastAsia="仿宋_GB2312"/>
          <w:b w:val="0"/>
          <w:bCs w:val="0"/>
          <w:color w:val="000000"/>
          <w:sz w:val="32"/>
          <w:szCs w:val="32"/>
          <w:highlight w:val="none"/>
          <w:shd w:val="clear"/>
          <w:lang w:val="en-US" w:eastAsia="zh-CN"/>
        </w:rPr>
        <w:t>，为国家节水型城市复查做支撑准备。</w:t>
      </w:r>
    </w:p>
    <w:p>
      <w:pPr>
        <w:pStyle w:val="10"/>
        <w:widowControl w:val="0"/>
        <w:numPr>
          <w:ilvl w:val="-1"/>
          <w:numId w:val="0"/>
        </w:numPr>
        <w:spacing w:beforeLines="0" w:afterLines="0" w:line="560" w:lineRule="exact"/>
        <w:ind w:firstLine="643" w:firstLineChars="200"/>
        <w:rPr>
          <w:rFonts w:hint="eastAsia" w:ascii="Times New Roman" w:eastAsia="仿宋_GB2312"/>
          <w:b w:val="0"/>
          <w:bCs w:val="0"/>
          <w:color w:val="000000"/>
          <w:sz w:val="32"/>
          <w:szCs w:val="32"/>
          <w:highlight w:val="none"/>
        </w:rPr>
      </w:pPr>
      <w:r>
        <w:rPr>
          <w:rFonts w:hint="eastAsia" w:ascii="Times New Roman" w:eastAsia="仿宋_GB2312"/>
          <w:b/>
          <w:bCs/>
          <w:sz w:val="32"/>
          <w:szCs w:val="32"/>
          <w:highlight w:val="none"/>
          <w:lang w:val="en-US" w:eastAsia="zh-CN"/>
        </w:rPr>
        <w:t>4.</w:t>
      </w:r>
      <w:r>
        <w:rPr>
          <w:rFonts w:hint="default" w:ascii="Times New Roman" w:eastAsia="仿宋_GB2312"/>
          <w:b/>
          <w:bCs/>
          <w:sz w:val="32"/>
          <w:szCs w:val="32"/>
          <w:highlight w:val="none"/>
        </w:rPr>
        <w:t>以部门为主体的绩效目标</w:t>
      </w:r>
    </w:p>
    <w:p>
      <w:pPr>
        <w:pStyle w:val="10"/>
        <w:widowControl w:val="0"/>
        <w:numPr>
          <w:ilvl w:val="-1"/>
          <w:numId w:val="0"/>
        </w:numPr>
        <w:spacing w:beforeLines="0" w:afterLines="0" w:line="560" w:lineRule="exact"/>
        <w:ind w:firstLine="0" w:firstLineChars="0"/>
        <w:rPr>
          <w:rFonts w:hint="default" w:ascii="Times New Roman" w:eastAsia="仿宋_GB2312"/>
          <w:b w:val="0"/>
          <w:bCs w:val="0"/>
          <w:color w:val="000000"/>
          <w:sz w:val="32"/>
          <w:szCs w:val="32"/>
          <w:highlight w:val="none"/>
          <w:shd w:val="clear" w:color="auto" w:fill="auto"/>
          <w:lang w:eastAsia="zh-CN"/>
        </w:rPr>
      </w:pPr>
      <w:r>
        <w:rPr>
          <w:rFonts w:hint="eastAsia" w:ascii="Times New Roman" w:eastAsia="仿宋_GB2312"/>
          <w:b w:val="0"/>
          <w:bCs w:val="0"/>
          <w:color w:val="000000"/>
          <w:sz w:val="32"/>
          <w:szCs w:val="32"/>
          <w:highlight w:val="none"/>
          <w:shd w:val="clear"/>
          <w:lang w:val="en-US" w:eastAsia="zh-CN"/>
        </w:rPr>
        <w:t xml:space="preserve">   </w:t>
      </w:r>
      <w:r>
        <w:rPr>
          <w:rFonts w:hint="eastAsia" w:eastAsia="仿宋_GB2312"/>
          <w:b w:val="0"/>
          <w:bCs w:val="0"/>
          <w:color w:val="000000"/>
          <w:sz w:val="32"/>
          <w:szCs w:val="32"/>
          <w:shd w:val="clear"/>
          <w:lang w:val="en-US" w:eastAsia="zh-CN"/>
        </w:rPr>
        <w:t xml:space="preserve"> </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公用事业发展中心未进行以部门为主体的绩效目标管理，无相关绩效目标。</w:t>
      </w:r>
    </w:p>
    <w:p>
      <w:pPr>
        <w:pStyle w:val="10"/>
        <w:widowControl w:val="0"/>
        <w:spacing w:line="530" w:lineRule="exact"/>
        <w:ind w:firstLine="640" w:firstLineChars="200"/>
        <w:rPr>
          <w:rStyle w:val="7"/>
          <w:rFonts w:ascii="Times New Roman" w:hAnsi="Times New Roman" w:eastAsia="黑体" w:cs="Times New Roman"/>
          <w:b w:val="0"/>
        </w:rPr>
      </w:pPr>
      <w:r>
        <w:rPr>
          <w:rStyle w:val="7"/>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auto"/>
          <w:sz w:val="32"/>
          <w:szCs w:val="32"/>
          <w:highlight w:val="none"/>
        </w:rPr>
        <w:t>10.社会保障和就业支出</w:t>
      </w:r>
      <w:r>
        <w:rPr>
          <w:rFonts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rPr>
        <w:t>行政事业单位养老支出</w:t>
      </w:r>
      <w:r>
        <w:rPr>
          <w:rFonts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rPr>
        <w:t>事业单位离退休</w:t>
      </w:r>
      <w:r>
        <w:rPr>
          <w:rFonts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b/>
          <w:bCs/>
          <w:color w:val="auto"/>
          <w:sz w:val="32"/>
          <w:szCs w:val="32"/>
          <w:highlight w:val="none"/>
        </w:rPr>
        <w:t>：</w:t>
      </w:r>
      <w:r>
        <w:rPr>
          <w:rFonts w:hint="eastAsia" w:ascii="Times New Roman" w:hAnsi="Times New Roman" w:eastAsia="仿宋_GB2312" w:cs="Times New Roman"/>
          <w:bCs/>
          <w:color w:val="000000"/>
          <w:sz w:val="32"/>
          <w:szCs w:val="32"/>
        </w:rPr>
        <w:t>指反映事业单位开支的离退休经费。</w:t>
      </w:r>
    </w:p>
    <w:p>
      <w:pPr>
        <w:spacing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auto"/>
          <w:sz w:val="32"/>
          <w:szCs w:val="32"/>
          <w:highlight w:val="none"/>
        </w:rPr>
        <w:t>11.社会保障和就业支出</w:t>
      </w:r>
      <w:r>
        <w:rPr>
          <w:rFonts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rPr>
        <w:t>行政事业单位养老支出</w:t>
      </w:r>
      <w:r>
        <w:rPr>
          <w:rFonts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rPr>
        <w:t>机关事业单位基本养老保险缴费支出</w:t>
      </w:r>
      <w:r>
        <w:rPr>
          <w:rFonts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b/>
          <w:bCs/>
          <w:color w:val="auto"/>
          <w:sz w:val="32"/>
          <w:szCs w:val="32"/>
          <w:highlight w:val="none"/>
        </w:rPr>
        <w:t>）：</w:t>
      </w:r>
      <w:r>
        <w:rPr>
          <w:rFonts w:hint="eastAsia" w:ascii="Times New Roman" w:hAnsi="Times New Roman" w:eastAsia="仿宋_GB2312" w:cs="Times New Roman"/>
          <w:bCs/>
          <w:color w:val="000000"/>
          <w:sz w:val="32"/>
          <w:szCs w:val="32"/>
        </w:rPr>
        <w:t>指反映机关事业单位实施养老保险制度由单位缴纳的基本养老保险费支出。</w:t>
      </w:r>
    </w:p>
    <w:p>
      <w:pPr>
        <w:spacing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auto"/>
          <w:sz w:val="32"/>
          <w:szCs w:val="32"/>
          <w:highlight w:val="none"/>
        </w:rPr>
        <w:t>12.社会保障和就业支出</w:t>
      </w:r>
      <w:r>
        <w:rPr>
          <w:rFonts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rPr>
        <w:t>行政事业单位养老支出</w:t>
      </w:r>
      <w:r>
        <w:rPr>
          <w:rFonts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rPr>
        <w:t>机关事业单位职业年金缴费支出</w:t>
      </w:r>
      <w:r>
        <w:rPr>
          <w:rFonts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b/>
          <w:bCs/>
          <w:color w:val="auto"/>
          <w:sz w:val="32"/>
          <w:szCs w:val="32"/>
          <w:highlight w:val="none"/>
        </w:rPr>
        <w:t>：</w:t>
      </w:r>
      <w:r>
        <w:rPr>
          <w:rFonts w:hint="eastAsia" w:ascii="Times New Roman" w:hAnsi="Times New Roman" w:eastAsia="仿宋_GB2312" w:cs="Times New Roman"/>
          <w:bCs/>
          <w:color w:val="000000"/>
          <w:sz w:val="32"/>
          <w:szCs w:val="32"/>
        </w:rPr>
        <w:t>指反映机关事业单位实施养老保险制度由单位实际缴纳的职业年金支出。</w:t>
      </w:r>
    </w:p>
    <w:p>
      <w:pPr>
        <w:spacing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auto"/>
          <w:sz w:val="32"/>
          <w:szCs w:val="32"/>
          <w:highlight w:val="none"/>
        </w:rPr>
        <w:t>13.卫生健康支出</w:t>
      </w:r>
      <w:r>
        <w:rPr>
          <w:rFonts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rPr>
        <w:t>行政事业单位医疗</w:t>
      </w:r>
      <w:r>
        <w:rPr>
          <w:rFonts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rPr>
        <w:t>事业单位医疗（项）：</w:t>
      </w:r>
      <w:r>
        <w:rPr>
          <w:rFonts w:hint="eastAsia" w:ascii="Times New Roman" w:hAnsi="Times New Roman" w:eastAsia="仿宋_GB2312" w:cs="Times New Roman"/>
          <w:bCs/>
          <w:color w:val="000000"/>
          <w:sz w:val="32"/>
          <w:szCs w:val="32"/>
        </w:rPr>
        <w:t>指反映财政部门安排的事业单位基本医疗保险缴费经费，未参加医疗保险的事业单位的公费医疗经费，按国家规定享受离休人员待遇的医疗经费。</w:t>
      </w:r>
    </w:p>
    <w:p>
      <w:pPr>
        <w:spacing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.城乡社区支出</w:t>
      </w:r>
      <w:r>
        <w:rPr>
          <w:rFonts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rPr>
        <w:t>其他城乡社区支出</w:t>
      </w:r>
      <w:r>
        <w:rPr>
          <w:rFonts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rPr>
        <w:t>其他城乡社区支出（项）：</w:t>
      </w:r>
      <w:r>
        <w:rPr>
          <w:rFonts w:hint="eastAsia" w:ascii="Times New Roman" w:hAnsi="Times New Roman" w:eastAsia="仿宋_GB2312" w:cs="Times New Roman"/>
          <w:bCs/>
          <w:color w:val="000000"/>
          <w:sz w:val="32"/>
          <w:szCs w:val="32"/>
        </w:rPr>
        <w:t>指反映除上述项目以外其他用于城乡社区方面的支出。</w:t>
      </w:r>
    </w:p>
    <w:p>
      <w:pPr>
        <w:spacing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eastAsia="仿宋_GB2312"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rPr>
        <w:t>.住房保障支出</w:t>
      </w:r>
      <w:r>
        <w:rPr>
          <w:rFonts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rPr>
        <w:t>住房改革支出</w:t>
      </w:r>
      <w:r>
        <w:rPr>
          <w:rFonts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rPr>
        <w:t>住房公积金（项）：</w:t>
      </w:r>
      <w:r>
        <w:rPr>
          <w:rFonts w:hint="eastAsia" w:ascii="Times New Roman" w:hAnsi="Times New Roman" w:eastAsia="仿宋_GB2312" w:cs="Times New Roman"/>
          <w:bCs/>
          <w:color w:val="000000"/>
          <w:sz w:val="32"/>
          <w:szCs w:val="32"/>
        </w:rPr>
        <w:t>反映行政事业单位按人力资源和社会保障部、财政部规定的基本资工资和津贴补贴以及规定比例为职工缴纳的住房公积金。</w:t>
      </w:r>
    </w:p>
    <w:p>
      <w:pPr>
        <w:spacing w:line="560" w:lineRule="exact"/>
        <w:ind w:firstLine="420" w:firstLineChars="200"/>
        <w:rPr>
          <w:rFonts w:ascii="Times New Roman" w:hAnsi="Times New Roman" w:cs="Times New Roman"/>
        </w:rPr>
      </w:pPr>
    </w:p>
    <w:p>
      <w:pPr>
        <w:spacing w:line="530" w:lineRule="exact"/>
        <w:rPr>
          <w:rFonts w:ascii="Times New Roman" w:hAnsi="Times New Roman" w:cs="Times New Roman"/>
        </w:rPr>
      </w:pPr>
    </w:p>
    <w:p>
      <w:pPr>
        <w:spacing w:line="530" w:lineRule="exact"/>
        <w:rPr>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金华市</w:t>
      </w:r>
      <w:r>
        <w:rPr>
          <w:rFonts w:hint="eastAsia" w:ascii="Times New Roman" w:hAnsi="Times New Roman" w:eastAsia="仿宋_GB2312" w:cs="Times New Roman"/>
          <w:sz w:val="32"/>
          <w:szCs w:val="32"/>
          <w:lang w:eastAsia="zh-CN"/>
        </w:rPr>
        <w:t>公用事业发展中心</w:t>
      </w:r>
      <w:r>
        <w:rPr>
          <w:rFonts w:hint="default"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yYjM4ZDZlNDNiNDY1MTZiMTliNjBkMTliOWE4ZjgifQ=="/>
  </w:docVars>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33E2F96"/>
    <w:rsid w:val="0487337A"/>
    <w:rsid w:val="08365250"/>
    <w:rsid w:val="09120D9A"/>
    <w:rsid w:val="0D34514B"/>
    <w:rsid w:val="0FBA7CD8"/>
    <w:rsid w:val="117F1A78"/>
    <w:rsid w:val="1467059F"/>
    <w:rsid w:val="1526103F"/>
    <w:rsid w:val="15EA3D44"/>
    <w:rsid w:val="16963276"/>
    <w:rsid w:val="19531DDB"/>
    <w:rsid w:val="1A5C2881"/>
    <w:rsid w:val="24A7423C"/>
    <w:rsid w:val="252A07AC"/>
    <w:rsid w:val="26473D23"/>
    <w:rsid w:val="2B59584E"/>
    <w:rsid w:val="2BEE1E12"/>
    <w:rsid w:val="2EE6088A"/>
    <w:rsid w:val="3969233E"/>
    <w:rsid w:val="3A2F13C5"/>
    <w:rsid w:val="3AB9258B"/>
    <w:rsid w:val="3BF0758C"/>
    <w:rsid w:val="3E965992"/>
    <w:rsid w:val="3EAF5DC8"/>
    <w:rsid w:val="3EDA521D"/>
    <w:rsid w:val="465F7543"/>
    <w:rsid w:val="469E0B05"/>
    <w:rsid w:val="4ACB722E"/>
    <w:rsid w:val="4B2434E8"/>
    <w:rsid w:val="4E542742"/>
    <w:rsid w:val="50CD2E06"/>
    <w:rsid w:val="513532C8"/>
    <w:rsid w:val="52C96EEB"/>
    <w:rsid w:val="52EC3A8D"/>
    <w:rsid w:val="53782FC6"/>
    <w:rsid w:val="540B09FD"/>
    <w:rsid w:val="54AE668B"/>
    <w:rsid w:val="582D3173"/>
    <w:rsid w:val="5E0357FA"/>
    <w:rsid w:val="5FAF1485"/>
    <w:rsid w:val="63A05F4A"/>
    <w:rsid w:val="694922FA"/>
    <w:rsid w:val="6E0245A6"/>
    <w:rsid w:val="6E7F0555"/>
    <w:rsid w:val="71CE744E"/>
    <w:rsid w:val="7229002C"/>
    <w:rsid w:val="72FC7ABF"/>
    <w:rsid w:val="7818736C"/>
    <w:rsid w:val="784E7774"/>
    <w:rsid w:val="7A604C0F"/>
    <w:rsid w:val="7D197956"/>
    <w:rsid w:val="7FEB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5730</Words>
  <Characters>6337</Characters>
  <Lines>27</Lines>
  <Paragraphs>7</Paragraphs>
  <TotalTime>1</TotalTime>
  <ScaleCrop>false</ScaleCrop>
  <LinksUpToDate>false</LinksUpToDate>
  <CharactersWithSpaces>6422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方一如</cp:lastModifiedBy>
  <cp:lastPrinted>2021-03-11T09:17:00Z</cp:lastPrinted>
  <dcterms:modified xsi:type="dcterms:W3CDTF">2022-08-24T03:40:43Z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C8C48BAD760C40BFBEA4697EDD010ED7</vt:lpwstr>
  </property>
</Properties>
</file>