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45"/>
          <w:rFonts w:hint="default" w:ascii="创艺简标宋"/>
          <w:sz w:val="48"/>
          <w:szCs w:val="48"/>
        </w:rPr>
      </w:pPr>
      <w:r>
        <w:rPr>
          <w:rFonts w:ascii="方正小标宋简体" w:hAnsi="方正小标宋简体"/>
          <w:color w:val="000000"/>
          <w:spacing w:val="15"/>
          <w:sz w:val="48"/>
          <w:szCs w:val="48"/>
        </w:rPr>
        <w:t>金华市</w:t>
      </w:r>
      <w:r>
        <w:rPr>
          <w:rFonts w:hint="eastAsia" w:ascii="方正小标宋简体" w:hAnsi="方正小标宋简体"/>
          <w:color w:val="000000"/>
          <w:spacing w:val="15"/>
          <w:sz w:val="48"/>
          <w:szCs w:val="48"/>
        </w:rPr>
        <w:t>建设工程质量安全管理总站</w:t>
      </w:r>
      <w:r>
        <w:rPr>
          <w:rFonts w:ascii="方正小标宋简体" w:hAnsi="方正小标宋简体"/>
          <w:color w:val="000000"/>
          <w:spacing w:val="15"/>
          <w:sz w:val="48"/>
          <w:szCs w:val="48"/>
        </w:rPr>
        <w:t>202</w:t>
      </w:r>
      <w:r>
        <w:rPr>
          <w:rFonts w:hint="eastAsia" w:ascii="方正小标宋简体" w:hAnsi="方正小标宋简体"/>
          <w:color w:val="000000"/>
          <w:spacing w:val="15"/>
          <w:sz w:val="48"/>
          <w:szCs w:val="48"/>
        </w:rPr>
        <w:t>1</w:t>
      </w:r>
      <w:r>
        <w:rPr>
          <w:rFonts w:ascii="方正小标宋简体" w:hAnsi="方正小标宋简体"/>
          <w:color w:val="000000"/>
          <w:spacing w:val="15"/>
          <w:sz w:val="48"/>
          <w:szCs w:val="48"/>
        </w:rPr>
        <w:t>年</w:t>
      </w:r>
      <w:r>
        <w:rPr>
          <w:rFonts w:hint="eastAsia" w:ascii="方正小标宋简体" w:hAnsi="方正小标宋简体"/>
          <w:color w:val="000000"/>
          <w:spacing w:val="15"/>
          <w:sz w:val="48"/>
          <w:szCs w:val="48"/>
        </w:rPr>
        <w:t>单位</w:t>
      </w:r>
      <w:r>
        <w:rPr>
          <w:rFonts w:ascii="方正小标宋简体" w:hAnsi="方正小标宋简体"/>
          <w:color w:val="000000"/>
          <w:spacing w:val="15"/>
          <w:sz w:val="48"/>
          <w:szCs w:val="48"/>
        </w:rPr>
        <w:t>预算</w:t>
      </w:r>
    </w:p>
    <w:p>
      <w:pPr>
        <w:spacing w:line="530" w:lineRule="exact"/>
        <w:ind w:firstLine="590" w:firstLineChars="196"/>
        <w:rPr>
          <w:rStyle w:val="45"/>
          <w:rFonts w:hint="default"/>
          <w:color w:val="000000"/>
          <w:sz w:val="30"/>
          <w:szCs w:val="30"/>
        </w:rPr>
      </w:pPr>
      <w:r>
        <w:rPr>
          <w:rStyle w:val="45"/>
          <w:rFonts w:hint="default"/>
          <w:color w:val="000000"/>
          <w:sz w:val="30"/>
          <w:szCs w:val="30"/>
        </w:rPr>
        <w:t xml:space="preserve"> </w:t>
      </w:r>
    </w:p>
    <w:p>
      <w:pPr>
        <w:numPr>
          <w:ilvl w:val="0"/>
          <w:numId w:val="1"/>
        </w:numPr>
        <w:spacing w:line="530" w:lineRule="exact"/>
        <w:rPr>
          <w:rStyle w:val="45"/>
          <w:rFonts w:hint="default" w:ascii="仿宋_GB2312" w:hAnsi="仿宋_GB2312" w:eastAsia="仿宋_GB2312" w:cs="仿宋_GB2312"/>
          <w:color w:val="000000"/>
        </w:rPr>
      </w:pPr>
      <w:r>
        <w:rPr>
          <w:rFonts w:hint="eastAsia" w:ascii="仿宋_GB2312" w:hAnsi="仿宋_GB2312" w:eastAsia="仿宋_GB2312" w:cs="仿宋_GB2312"/>
          <w:b/>
          <w:bCs/>
          <w:color w:val="000000"/>
          <w:spacing w:val="15"/>
          <w:sz w:val="32"/>
          <w:szCs w:val="32"/>
        </w:rPr>
        <w:t>金华市建设工程质量安全管理总站</w:t>
      </w:r>
      <w:r>
        <w:rPr>
          <w:rStyle w:val="45"/>
          <w:rFonts w:hint="default" w:ascii="仿宋_GB2312" w:hAnsi="仿宋_GB2312" w:eastAsia="仿宋_GB2312" w:cs="仿宋_GB2312"/>
          <w:color w:val="000000"/>
        </w:rPr>
        <w:t>概况</w:t>
      </w:r>
    </w:p>
    <w:p>
      <w:pPr>
        <w:spacing w:line="53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（一）主要职能</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1.承担市区建设工程质量安全管理辅助工作，为县（市、区）工程质量安全机构提供指导服务。</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2.承担市区预拌混凝土、砂浆和工程检测管理辅助工作。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3.承担市区建筑起重设备登记、使用管理辅助工作。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4.承担市区建设工程消防验收的辅助工作。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5.承担市区工程建设活动扬尘污染等环境治理的辅助工作。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6.承担市区工程建设项目信用评价辅助工作。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7.协助开展市区施工项目建设单位肢解发包、施工单位违法分包、挂靠、转包以及拖欠民工工资等行为的处理工作。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8.承担全市轨道交通工程质量安全管理辅助工作。</w:t>
      </w:r>
    </w:p>
    <w:p>
      <w:pPr>
        <w:pStyle w:val="1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9.完成金华市住房和城乡建设局交办的其他任务。</w:t>
      </w:r>
    </w:p>
    <w:p>
      <w:pPr>
        <w:spacing w:line="530" w:lineRule="exact"/>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（二）单位机构设置情况</w:t>
      </w:r>
    </w:p>
    <w:p>
      <w:pPr>
        <w:spacing w:line="560" w:lineRule="exact"/>
        <w:ind w:firstLine="7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5"/>
          <w:sz w:val="32"/>
          <w:szCs w:val="32"/>
        </w:rPr>
        <w:t>金华市建设工程质量安全管理总站内设机构</w:t>
      </w:r>
      <w:r>
        <w:rPr>
          <w:rFonts w:hint="eastAsia" w:ascii="仿宋_GB2312" w:hAnsi="仿宋_GB2312" w:eastAsia="仿宋_GB2312" w:cs="仿宋_GB2312"/>
          <w:color w:val="000000"/>
          <w:sz w:val="32"/>
          <w:szCs w:val="32"/>
        </w:rPr>
        <w:t>包括办公室、工程技术科（消防验收科）、房屋工程</w:t>
      </w:r>
      <w:r>
        <w:rPr>
          <w:rFonts w:hint="eastAsia"/>
          <w:sz w:val="32"/>
          <w:szCs w:val="32"/>
        </w:rPr>
        <w:t>一科</w:t>
      </w:r>
      <w:r>
        <w:rPr>
          <w:rFonts w:hint="eastAsia" w:ascii="仿宋_GB2312" w:hAnsi="仿宋_GB2312" w:eastAsia="仿宋_GB2312" w:cs="仿宋_GB2312"/>
          <w:color w:val="000000"/>
          <w:sz w:val="32"/>
          <w:szCs w:val="32"/>
        </w:rPr>
        <w:t>、房屋工程二科、市政工程科、城市轨道工程科。</w:t>
      </w:r>
    </w:p>
    <w:p>
      <w:pPr>
        <w:spacing w:line="530" w:lineRule="exact"/>
        <w:ind w:firstLine="645"/>
        <w:rPr>
          <w:rFonts w:ascii="仿宋_GB2312" w:hAnsi="仿宋_GB2312" w:eastAsia="仿宋_GB2312" w:cs="仿宋_GB2312"/>
          <w:b/>
          <w:bCs/>
          <w:color w:val="000000"/>
          <w:sz w:val="32"/>
          <w:szCs w:val="32"/>
        </w:rPr>
      </w:pPr>
      <w:r>
        <w:rPr>
          <w:rStyle w:val="45"/>
          <w:rFonts w:hint="default" w:ascii="仿宋_GB2312" w:hAnsi="仿宋_GB2312" w:eastAsia="仿宋_GB2312" w:cs="仿宋_GB2312"/>
          <w:color w:val="000000"/>
        </w:rPr>
        <w:t>二、</w:t>
      </w:r>
      <w:r>
        <w:rPr>
          <w:rFonts w:hint="eastAsia" w:ascii="仿宋_GB2312" w:hAnsi="仿宋_GB2312" w:eastAsia="仿宋_GB2312" w:cs="仿宋_GB2312"/>
          <w:b/>
          <w:bCs/>
          <w:color w:val="000000"/>
          <w:spacing w:val="15"/>
          <w:sz w:val="32"/>
          <w:szCs w:val="32"/>
        </w:rPr>
        <w:t>金华市建设工程质量安全管理总站</w:t>
      </w:r>
      <w:r>
        <w:rPr>
          <w:rStyle w:val="45"/>
          <w:rFonts w:hint="default" w:ascii="仿宋_GB2312" w:hAnsi="仿宋_GB2312" w:eastAsia="仿宋_GB2312" w:cs="仿宋_GB2312"/>
          <w:color w:val="000000"/>
        </w:rPr>
        <w:t>2021年单位预算安排情况说明</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2021年收支预算情况的总体说明</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按照综合预算的原则，</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所有收入和支出均纳入部门预算管理。收入包括：一般公共预算拨款收入。支出包括：教育支出、社会保障和就业支出、卫生健康支出、城乡社区支出、住房保障支出。</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2021年收支总预算 1194.55 万元。</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2021年收入预算情况说明</w:t>
      </w:r>
    </w:p>
    <w:p>
      <w:pPr>
        <w:spacing w:line="530" w:lineRule="exact"/>
        <w:ind w:firstLine="7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2021年收入预算 1194.55 万元，其中：上年结转0万元，占0%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一般公共预算拨款收入 1194.55 万元，占100%</w:t>
      </w:r>
      <w:r>
        <w:rPr>
          <w:rFonts w:hint="eastAsia" w:ascii="仿宋_GB2312" w:hAnsi="仿宋_GB2312" w:eastAsia="仿宋_GB2312" w:cs="仿宋_GB2312"/>
          <w:color w:val="000000"/>
          <w:sz w:val="32"/>
          <w:szCs w:val="32"/>
          <w:lang w:eastAsia="zh-CN"/>
        </w:rPr>
        <w:t>；</w:t>
      </w:r>
      <w:bookmarkStart w:id="0" w:name="_GoBack"/>
      <w:bookmarkEnd w:id="0"/>
      <w:r>
        <w:rPr>
          <w:rFonts w:hint="eastAsia" w:ascii="仿宋_GB2312" w:hAnsi="仿宋_GB2312" w:eastAsia="仿宋_GB2312" w:cs="仿宋_GB2312"/>
          <w:color w:val="000000"/>
          <w:sz w:val="32"/>
          <w:szCs w:val="32"/>
        </w:rPr>
        <w:t>财政专户管理的资金</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2021年支出预算情况说明</w:t>
      </w:r>
    </w:p>
    <w:p>
      <w:pPr>
        <w:spacing w:line="530" w:lineRule="exact"/>
        <w:ind w:firstLine="7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2021年支出预算 1194.55 万元。</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1.按支出功能分类，包括教育支出19.23万元、社会保障和就业支出96.2万元、卫生健康支出40.5万元、城乡社区支出933.3万元、住房保障支出105.32万元。</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2.按支出用途分类，包括人员支出1019.09万元，占85.3%；日常公用支出128.26万元，占10.7%；项目支出47.2万元，占</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结转下年0万元。</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sz w:val="32"/>
          <w:szCs w:val="32"/>
        </w:rPr>
        <w:t>财政拨款收支预算情况的总体说明</w:t>
      </w:r>
    </w:p>
    <w:p>
      <w:pPr>
        <w:spacing w:line="530" w:lineRule="exact"/>
        <w:ind w:firstLine="7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2021年财政拨款收支总预算 1194.55 万元。收入包括：一般公共预算拨款 1194.55 万元；支出包括：教育支出19.23万元、社会保障和就业支出96.2万元、卫生健康支出40.5万元、城乡社区支出933.3万元、住房保障支出105.32万元。</w:t>
      </w:r>
    </w:p>
    <w:p>
      <w:pPr>
        <w:numPr>
          <w:ilvl w:val="0"/>
          <w:numId w:val="2"/>
        </w:num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2021年一般公共预算当年拨款情况说明</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1.一般公共预算当年拨款规模变化情况。</w:t>
      </w:r>
    </w:p>
    <w:p>
      <w:pPr>
        <w:spacing w:line="530" w:lineRule="exact"/>
        <w:ind w:firstLine="7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2021年一般公共预算当年拨款 1194.55 万元，比2020年执行数增加133.72万元，主要是2021年人员增加。</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2.一般公共预算当年拨款结构情况。</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教育支出（类）支出19.23万元，占1.6%；社会保障和就业（类）支出96.2万元，占8.</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%；卫生健康（类）支出40.5万元，占3.</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%；城乡社区（类）支出933.3万元，占78.1%；住房保障（类）支出105.32万元，占8.8%。</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3.一般公共预算当年拨款具体使用情况。</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（1）教育支出（类）进修及培训（款）培训支出（项）19.23万元，主要用于内部职工培训和外部建设工程质量安全业务教育培训费用支出。</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（2）社会保障和就业支出（类）行政事业单位养老支出（款）事业单位离退休（项）0.12万元，主要用于未实行归口管理的事业单位开支的离退休经费。</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（3）社会保障和就业支出（类）行政事业单位养老支出（款）机关事业单位基本养老保险缴费支出（项）64.05万元，主要用于事业单位的基本养老保险的缴纳。</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（4）社会保障和就业支出（类）行政事业单位养老支出（款）机关事业单位职业年金缴费支出（项）32.03万元，主要用于事业单位的职业年金的缴纳。</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（5）卫生健康支出（类）行政事业单位医疗（款）事业单位医疗（项）40.5万元，主要用于事业单位基本医疗保险缴费经费。</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（6）城乡社区支出（类）建设市场管理与监督（款）建设市场管理与监督（项）933.3万元，主要用于建设市场工程质量安全业务管理等方面的支出。</w:t>
      </w:r>
    </w:p>
    <w:p>
      <w:pPr>
        <w:spacing w:line="53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 住房保障支出（类）住房改革支出（款）住房公积金（项）105.32万元，主要用于为职工缴纳的住房公积金。</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 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2021年一般公共预算基本支出情况说明</w:t>
      </w:r>
    </w:p>
    <w:p>
      <w:pPr>
        <w:spacing w:line="530" w:lineRule="exact"/>
        <w:ind w:firstLine="7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2021年一般公共预算基本支出1147.35万元，其中：</w:t>
      </w:r>
    </w:p>
    <w:p>
      <w:pPr>
        <w:spacing w:line="530" w:lineRule="exact"/>
        <w:ind w:firstLine="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人员经费1019.09万元，主要包括：基本工资、津贴补贴、奖金、绩效工资、机关事业单位基本养老保险缴费、职业年金缴费、职工基本医疗保险缴费、公务员医疗补助缴费、其他社会保障缴费、住房公积金、其他工资福利支出、劳务费、退休费、其他对个人和家庭的补助。</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经费128.26万元，主要包括：其他社会保障缴费、办公费、印刷费、水费、电费、邮电费、差旅费、维修（护）费、培训费、工会经费、福利费、公务用车运行维护费、其他交通费用、其他商品和服务支出、其他对个人和家庭的补助支出、办公设备购置。</w:t>
      </w:r>
    </w:p>
    <w:p>
      <w:pPr>
        <w:spacing w:line="53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2021年政府性基金预算支出情况说明</w:t>
      </w:r>
    </w:p>
    <w:p>
      <w:pPr>
        <w:pStyle w:val="15"/>
        <w:ind w:left="0" w:leftChars="0" w:firstLine="70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2021年没有使用政府性基金预算拨款安排的支出。</w:t>
      </w:r>
    </w:p>
    <w:p>
      <w:pPr>
        <w:numPr>
          <w:ilvl w:val="0"/>
          <w:numId w:val="3"/>
        </w:num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2021年一般公共预算“三公”经费预算情况说明</w:t>
      </w:r>
    </w:p>
    <w:p>
      <w:pPr>
        <w:spacing w:line="530" w:lineRule="exact"/>
        <w:ind w:firstLine="700" w:firstLineChars="200"/>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sz w:val="32"/>
          <w:szCs w:val="32"/>
        </w:rPr>
        <w:t>2021年一般公共预算“三公”经费预算数为</w:t>
      </w: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比2020年执行数6.52万元增加0.48万元，增长7.</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，具体如下：</w:t>
      </w:r>
    </w:p>
    <w:p>
      <w:pPr>
        <w:spacing w:line="53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color w:val="000000"/>
          <w:sz w:val="32"/>
          <w:szCs w:val="32"/>
        </w:rPr>
        <w:t>2021年单位预算未安排因公出国（境）费用，比上年执行数下降100%，年中将根据市外事侨务办安排的因公出国计划和实际工作需要追加指标</w:t>
      </w:r>
      <w:r>
        <w:rPr>
          <w:rFonts w:hint="eastAsia" w:ascii="仿宋_GB2312" w:hAnsi="仿宋_GB2312" w:eastAsia="仿宋_GB2312" w:cs="仿宋_GB2312"/>
          <w:color w:val="000000"/>
          <w:kern w:val="0"/>
          <w:sz w:val="32"/>
          <w:szCs w:val="32"/>
        </w:rPr>
        <w:t>。</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万元，比上年执行数下降</w:t>
      </w:r>
      <w:r>
        <w:rPr>
          <w:rFonts w:hint="eastAsia"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原因是本年度</w:t>
      </w:r>
      <w:r>
        <w:rPr>
          <w:rFonts w:hint="eastAsia" w:ascii="仿宋_GB2312" w:hAnsi="仿宋_GB2312" w:eastAsia="仿宋_GB2312" w:cs="仿宋_GB2312"/>
          <w:sz w:val="32"/>
          <w:szCs w:val="32"/>
          <w:lang w:eastAsia="zh-CN"/>
        </w:rPr>
        <w:t>和上年度都</w:t>
      </w:r>
      <w:r>
        <w:rPr>
          <w:rFonts w:hint="eastAsia" w:ascii="仿宋_GB2312" w:hAnsi="仿宋_GB2312" w:eastAsia="仿宋_GB2312" w:cs="仿宋_GB2312"/>
          <w:sz w:val="32"/>
          <w:szCs w:val="32"/>
        </w:rPr>
        <w:t>没有公务接待。</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3.公务用车购置及运行维护费：202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年安排公务用车购置及运行维护费预算</w:t>
      </w: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万元，比上年执行数增长7.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%。增加原因是车辆油价上涨，燃料费增加；车辆老旧，维修费增加。其中，公务用车运行维护费支出</w:t>
      </w: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万元，主要用于工地用车所需的燃料费、维修费、过桥过路费、保险费等支出。</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（九）其他重要事项的情况说明</w:t>
      </w:r>
    </w:p>
    <w:p>
      <w:pPr>
        <w:pStyle w:val="44"/>
        <w:widowControl w:val="0"/>
        <w:spacing w:line="53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1.政府采购情况</w:t>
      </w:r>
    </w:p>
    <w:p>
      <w:pPr>
        <w:pStyle w:val="44"/>
        <w:widowControl w:val="0"/>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单位采购预算总额21.28万元，其中：政府采购货物预算1.28万元、政府采购服务预算20万元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政府采购工程预算0万元。</w:t>
      </w:r>
    </w:p>
    <w:p>
      <w:pPr>
        <w:pStyle w:val="44"/>
        <w:widowControl w:val="0"/>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2.国有资产占有使用情况</w:t>
      </w:r>
    </w:p>
    <w:p>
      <w:pPr>
        <w:spacing w:line="530" w:lineRule="exact"/>
        <w:ind w:firstLine="664"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pacing w:val="6"/>
          <w:sz w:val="32"/>
          <w:szCs w:val="32"/>
        </w:rPr>
        <w:t>截至2020年12月31日，</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spacing w:val="6"/>
          <w:sz w:val="32"/>
          <w:szCs w:val="32"/>
        </w:rPr>
        <w:t>单位共有车辆</w:t>
      </w:r>
      <w:r>
        <w:rPr>
          <w:rFonts w:hint="eastAsia" w:ascii="仿宋_GB2312" w:hAnsi="仿宋_GB2312" w:eastAsia="仿宋_GB2312" w:cs="仿宋_GB2312"/>
          <w:sz w:val="32"/>
          <w:szCs w:val="32"/>
        </w:rPr>
        <w:t>6辆，其中：</w:t>
      </w:r>
      <w:r>
        <w:rPr>
          <w:rFonts w:hint="eastAsia" w:ascii="仿宋_GB2312" w:hAnsi="仿宋_GB2312" w:eastAsia="仿宋_GB2312" w:cs="仿宋_GB2312"/>
          <w:color w:val="000000"/>
          <w:sz w:val="32"/>
          <w:szCs w:val="32"/>
        </w:rPr>
        <w:t>没有一般公务用车，其他用车6辆，车主要是检查工地用车。</w:t>
      </w:r>
      <w:r>
        <w:rPr>
          <w:rFonts w:hint="default"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spacing w:line="53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年部门预算未安排购置车辆、单位价值50万元以上通用设备及单位价值100万元以上专用设备。</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4.绩效目标设置情况</w:t>
      </w:r>
    </w:p>
    <w:p>
      <w:pPr>
        <w:spacing w:line="530" w:lineRule="exact"/>
        <w:ind w:firstLine="664"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spacing w:val="6"/>
          <w:sz w:val="32"/>
          <w:szCs w:val="32"/>
        </w:rPr>
        <w:t>⑴ 总体情况。2021年</w:t>
      </w: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color w:val="000000"/>
          <w:sz w:val="32"/>
          <w:szCs w:val="32"/>
        </w:rPr>
        <w:t>其他运转类项目和特定目标类项目均实行绩效目标管理</w:t>
      </w:r>
      <w:r>
        <w:rPr>
          <w:rFonts w:hint="eastAsia" w:ascii="仿宋_GB2312" w:hAnsi="仿宋_GB2312" w:eastAsia="仿宋_GB2312" w:cs="仿宋_GB2312"/>
          <w:color w:val="000000"/>
          <w:spacing w:val="6"/>
          <w:sz w:val="32"/>
          <w:szCs w:val="32"/>
        </w:rPr>
        <w:t>，涉及一般公共预算当年拨款47.2万元。</w:t>
      </w:r>
    </w:p>
    <w:p>
      <w:pPr>
        <w:spacing w:line="530" w:lineRule="exact"/>
        <w:ind w:firstLine="664" w:firstLineChars="200"/>
        <w:rPr>
          <w:rFonts w:ascii="仿宋_GB2312" w:hAnsi="仿宋_GB2312" w:eastAsia="仿宋_GB2312" w:cs="仿宋_GB2312"/>
          <w:color w:val="000000"/>
          <w:spacing w:val="15"/>
          <w:sz w:val="32"/>
          <w:szCs w:val="32"/>
        </w:rPr>
      </w:pPr>
      <w:r>
        <w:rPr>
          <w:rFonts w:hint="eastAsia" w:ascii="仿宋_GB2312" w:hAnsi="仿宋_GB2312" w:eastAsia="仿宋_GB2312" w:cs="仿宋_GB2312"/>
          <w:spacing w:val="6"/>
          <w:sz w:val="32"/>
          <w:szCs w:val="32"/>
        </w:rPr>
        <w:t>⑵ 重点项目情况。2021年</w:t>
      </w:r>
      <w:r>
        <w:rPr>
          <w:rFonts w:hint="eastAsia" w:ascii="仿宋_GB2312" w:hAnsi="仿宋_GB2312" w:eastAsia="仿宋_GB2312" w:cs="仿宋_GB2312"/>
          <w:color w:val="000000"/>
          <w:spacing w:val="15"/>
          <w:sz w:val="32"/>
          <w:szCs w:val="32"/>
        </w:rPr>
        <w:t>金华市建设工程质量安全管理总站只有一个一级项目。项目名称建设市场管理与监督，为规范建设市场秩序，提高工程质量，保障人民群众生命财产安全，减少事故的发生。做好培训工作，提高培训效率，有效提高建设队伍人员的业务水平。工程质量安全生产现场检测，工程进场原材料质量明显提升，工程各类数据可溯性增强，消除安全隐患，确保设备使用安全。保障工地检查用车运行费.</w:t>
      </w:r>
    </w:p>
    <w:p>
      <w:pPr>
        <w:pStyle w:val="44"/>
        <w:widowControl w:val="0"/>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5.以部门为主体的绩效目标</w:t>
      </w:r>
    </w:p>
    <w:p>
      <w:pPr>
        <w:pStyle w:val="44"/>
        <w:widowControl w:val="0"/>
        <w:spacing w:line="530" w:lineRule="exact"/>
        <w:ind w:firstLine="70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kern w:val="2"/>
          <w:sz w:val="32"/>
          <w:szCs w:val="32"/>
        </w:rPr>
        <w:t>没有以部门为主体的绩效目标。</w:t>
      </w:r>
    </w:p>
    <w:p>
      <w:pPr>
        <w:pStyle w:val="44"/>
        <w:widowControl w:val="0"/>
        <w:spacing w:line="530" w:lineRule="exact"/>
        <w:ind w:firstLine="643" w:firstLineChars="200"/>
        <w:rPr>
          <w:rStyle w:val="45"/>
          <w:rFonts w:hint="default" w:ascii="仿宋_GB2312" w:hAnsi="仿宋_GB2312" w:eastAsia="仿宋_GB2312" w:cs="仿宋_GB2312"/>
        </w:rPr>
      </w:pPr>
      <w:r>
        <w:rPr>
          <w:rStyle w:val="45"/>
          <w:rFonts w:hint="default" w:ascii="仿宋_GB2312" w:hAnsi="仿宋_GB2312" w:eastAsia="仿宋_GB2312" w:cs="仿宋_GB2312"/>
        </w:rPr>
        <w:t>三、名词解释</w:t>
      </w:r>
    </w:p>
    <w:p>
      <w:pPr>
        <w:spacing w:line="53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1.财政拨款收入：</w:t>
      </w:r>
      <w:r>
        <w:rPr>
          <w:rFonts w:hint="eastAsia" w:ascii="仿宋_GB2312" w:hAnsi="仿宋_GB2312" w:eastAsia="仿宋_GB2312" w:cs="仿宋_GB2312"/>
          <w:sz w:val="32"/>
          <w:szCs w:val="32"/>
        </w:rPr>
        <w:t>本级财政部门当年拨付的财政预算资金，包括一般公共预算财政拨款和政府性基金预算财政拨款。</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2.财政专户管理的资金:</w:t>
      </w:r>
      <w:r>
        <w:rPr>
          <w:rFonts w:hint="eastAsia" w:ascii="仿宋_GB2312" w:hAnsi="仿宋_GB2312" w:eastAsia="仿宋_GB2312" w:cs="仿宋_GB2312"/>
          <w:bCs/>
          <w:color w:val="000000"/>
          <w:sz w:val="32"/>
          <w:szCs w:val="32"/>
        </w:rPr>
        <w:t>财政部门在银行开设的用于核算和反映政府非税收入以及其他需要</w:t>
      </w:r>
      <w:r>
        <w:rPr>
          <w:rFonts w:hint="eastAsia" w:ascii="仿宋_GB2312" w:hAnsi="仿宋_GB2312" w:eastAsia="仿宋_GB2312" w:cs="仿宋_GB2312"/>
          <w:sz w:val="32"/>
          <w:szCs w:val="32"/>
        </w:rPr>
        <w:t>专户管理的资金。</w:t>
      </w:r>
    </w:p>
    <w:p>
      <w:pPr>
        <w:spacing w:line="53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3.其他收入：</w:t>
      </w:r>
      <w:r>
        <w:rPr>
          <w:rFonts w:hint="eastAsia" w:ascii="仿宋_GB2312" w:hAnsi="仿宋_GB2312" w:eastAsia="仿宋_GB2312" w:cs="仿宋_GB2312"/>
          <w:sz w:val="32"/>
          <w:szCs w:val="32"/>
        </w:rPr>
        <w:t>预算单位在“一般公共预算”、“政府性基金”、“财政专户管理的资金”等之外取得的各项收入（含上级补助收入）。</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4.单位结余：</w:t>
      </w:r>
      <w:r>
        <w:rPr>
          <w:rFonts w:hint="eastAsia" w:ascii="仿宋_GB2312" w:hAnsi="仿宋_GB2312" w:eastAsia="仿宋_GB2312" w:cs="仿宋_GB2312"/>
          <w:bCs/>
          <w:color w:val="000000"/>
          <w:sz w:val="32"/>
          <w:szCs w:val="32"/>
        </w:rPr>
        <w:t>指事业单位在预计用当年的“财政拨款收入”、“财政专户管理资金”、“其他收入”、“上年结转”等不足以安排当年支出的情况下，使</w:t>
      </w:r>
      <w:r>
        <w:rPr>
          <w:rFonts w:hint="eastAsia" w:ascii="仿宋_GB2312" w:hAnsi="仿宋_GB2312" w:eastAsia="仿宋_GB2312" w:cs="仿宋_GB2312"/>
          <w:sz w:val="32"/>
          <w:szCs w:val="32"/>
        </w:rPr>
        <w:t>用以前年度积累的一般结余、事业基金、专用基金和专项结余等弥补本年收支缺口的资金。</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5.上年结转：</w:t>
      </w:r>
      <w:r>
        <w:rPr>
          <w:rFonts w:hint="eastAsia" w:ascii="仿宋_GB2312" w:hAnsi="仿宋_GB2312" w:eastAsia="仿宋_GB2312" w:cs="仿宋_GB2312"/>
          <w:sz w:val="32"/>
          <w:szCs w:val="32"/>
        </w:rPr>
        <w:t>指以前年度尚未完成、结转到本年仍按原规定用途继续使用的资金。</w:t>
      </w:r>
    </w:p>
    <w:p>
      <w:pPr>
        <w:spacing w:line="53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6.基本支出：</w:t>
      </w:r>
      <w:r>
        <w:rPr>
          <w:rFonts w:hint="eastAsia" w:ascii="仿宋_GB2312" w:hAnsi="仿宋_GB2312" w:eastAsia="仿宋_GB2312" w:cs="仿宋_GB2312"/>
          <w:sz w:val="32"/>
          <w:szCs w:val="32"/>
        </w:rPr>
        <w:t>是预算单位为保障其正常运转，完成日常工作任务所发生的支出，包括人员支出和日常公用支出。</w:t>
      </w:r>
    </w:p>
    <w:p>
      <w:pPr>
        <w:spacing w:line="53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7.项目支出：</w:t>
      </w:r>
      <w:r>
        <w:rPr>
          <w:rFonts w:hint="eastAsia" w:ascii="仿宋_GB2312" w:hAnsi="仿宋_GB2312" w:eastAsia="仿宋_GB2312" w:cs="仿宋_GB2312"/>
          <w:sz w:val="32"/>
          <w:szCs w:val="32"/>
        </w:rPr>
        <w:t>是预算单位为完成其特定的行政工作任务或事业发展目标所发生的支出。</w:t>
      </w:r>
    </w:p>
    <w:p>
      <w:pPr>
        <w:snapToGrid w:val="0"/>
        <w:spacing w:line="53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8.“三公”经费：</w:t>
      </w:r>
      <w:r>
        <w:rPr>
          <w:rFonts w:hint="eastAsia" w:ascii="仿宋_GB2312" w:hAnsi="仿宋_GB2312" w:eastAsia="仿宋_GB2312" w:cs="仿宋_GB2312"/>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9.机关运行经费</w:t>
      </w:r>
      <w:r>
        <w:rPr>
          <w:rFonts w:hint="eastAsia" w:ascii="仿宋_GB2312" w:hAnsi="仿宋_GB2312" w:eastAsia="仿宋_GB2312" w:cs="仿宋_GB2312"/>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10</w:t>
      </w:r>
      <w:r>
        <w:rPr>
          <w:rFonts w:hint="eastAsia" w:ascii="仿宋_GB2312" w:hAnsi="仿宋_GB2312" w:eastAsia="仿宋_GB2312" w:cs="仿宋_GB2312"/>
          <w:b/>
          <w:bCs/>
          <w:color w:val="000000"/>
          <w:sz w:val="32"/>
          <w:szCs w:val="32"/>
        </w:rPr>
        <w:t>.教育支出（类）进修及培训（款）培训支出（项）：</w:t>
      </w:r>
      <w:r>
        <w:rPr>
          <w:rFonts w:hint="eastAsia" w:ascii="仿宋_GB2312" w:hAnsi="仿宋_GB2312" w:eastAsia="仿宋_GB2312" w:cs="仿宋_GB2312"/>
          <w:sz w:val="32"/>
          <w:szCs w:val="32"/>
        </w:rPr>
        <w:t>指反映各部门安排的用于培训的支出。教育部门的师资培训、党校、行政学院等专业干部教育机构的支出，以及退役士兵、转业士官的培训支出，不在本科目反映。</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.社会保障和就业支出（类）行政事业单位养老支出（款）事业单位离退休（项）：</w:t>
      </w:r>
      <w:r>
        <w:rPr>
          <w:rFonts w:hint="eastAsia" w:ascii="仿宋_GB2312" w:hAnsi="仿宋_GB2312" w:eastAsia="仿宋_GB2312" w:cs="仿宋_GB2312"/>
          <w:sz w:val="32"/>
          <w:szCs w:val="32"/>
        </w:rPr>
        <w:t>指实行未实行归口管理的行政事业单位开支的离退休经费。</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指反映机关事业单位实施养老保险制度由单位缴纳的基本养老保险费支出。</w:t>
      </w:r>
    </w:p>
    <w:p>
      <w:pPr>
        <w:spacing w:line="53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.社会保障和就业支出（类）行政事业单位养老支出（款）机关事业单位职业年金缴费支出：</w:t>
      </w:r>
      <w:r>
        <w:rPr>
          <w:rFonts w:hint="eastAsia" w:ascii="仿宋_GB2312" w:hAnsi="仿宋_GB2312" w:eastAsia="仿宋_GB2312" w:cs="仿宋_GB2312"/>
          <w:sz w:val="32"/>
          <w:szCs w:val="32"/>
        </w:rPr>
        <w:t>指反映机关事业单位实施养老保险制度由单位实际缴纳的职业年金支出。</w:t>
      </w:r>
    </w:p>
    <w:p>
      <w:pPr>
        <w:spacing w:line="53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．卫生健康支出（类）行政事业单位医疗（款）事业单位医疗（项）：</w:t>
      </w:r>
      <w:r>
        <w:rPr>
          <w:rFonts w:hint="eastAsia" w:ascii="仿宋_GB2312" w:hAnsi="仿宋_GB2312" w:eastAsia="仿宋_GB2312" w:cs="仿宋_GB2312"/>
          <w:sz w:val="32"/>
          <w:szCs w:val="32"/>
        </w:rPr>
        <w:t>指反映财政部门安排的事业单位基本医疗保险缴费、未参加医疗保险的事业单位的公费医疗经费，按国家规定享受离休人员待遇的医疗经费。</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．城乡社区支出（类）建设市场管理与监督（款）建设市场管理与监督（项）：</w:t>
      </w:r>
      <w:r>
        <w:rPr>
          <w:rFonts w:hint="eastAsia" w:ascii="仿宋_GB2312" w:hAnsi="仿宋_GB2312" w:eastAsia="仿宋_GB2312" w:cs="仿宋_GB2312"/>
          <w:sz w:val="32"/>
          <w:szCs w:val="32"/>
        </w:rPr>
        <w:t>指用于各类建筑工程强制性和推荐性标准及规范的制定与修改、建筑工程招投标等市场管理、建筑工程质量与安全监督等方面的支出。</w:t>
      </w:r>
    </w:p>
    <w:p>
      <w:pPr>
        <w:spacing w:line="53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rPr>
        <w:t>．住房保障支出（类）住房改革支出（款）住房公积金（项）：</w:t>
      </w:r>
      <w:r>
        <w:rPr>
          <w:rFonts w:hint="eastAsia" w:ascii="仿宋_GB2312" w:hAnsi="仿宋_GB2312" w:eastAsia="仿宋_GB2312" w:cs="仿宋_GB2312"/>
          <w:sz w:val="32"/>
          <w:szCs w:val="32"/>
        </w:rPr>
        <w:t>指反映行政事业单位按人力资源和社会保障部、财政部规定的基本工资和津贴补贴以及规定比例为职工缴纳的住房公积金。</w:t>
      </w:r>
    </w:p>
    <w:p>
      <w:pPr>
        <w:spacing w:line="530" w:lineRule="exact"/>
        <w:rPr>
          <w:rFonts w:ascii="仿宋_GB2312" w:hAnsi="仿宋_GB2312" w:eastAsia="仿宋_GB2312" w:cs="仿宋_GB2312"/>
          <w:sz w:val="32"/>
          <w:szCs w:val="32"/>
        </w:rPr>
      </w:pPr>
    </w:p>
    <w:p>
      <w:pPr>
        <w:pStyle w:val="44"/>
        <w:widowControl w:val="0"/>
        <w:spacing w:line="530" w:lineRule="exact"/>
        <w:ind w:firstLine="640" w:firstLineChars="200"/>
        <w:rPr>
          <w:rStyle w:val="45"/>
          <w:rFonts w:hint="default" w:ascii="仿宋_GB2312" w:hAnsi="仿宋_GB2312" w:eastAsia="仿宋_GB2312" w:cs="仿宋_GB2312"/>
          <w:b w:val="0"/>
          <w:bCs w:val="0"/>
        </w:rPr>
      </w:pPr>
    </w:p>
    <w:p>
      <w:pPr>
        <w:spacing w:line="53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3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ordWrap w:val="0"/>
        <w:spacing w:line="53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30" w:lineRule="exact"/>
        <w:ind w:left="3564" w:leftChars="1197" w:right="640" w:hanging="1050" w:hangingChars="300"/>
        <w:jc w:val="left"/>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rPr>
        <w:t>金华市建设工程质量安全管理总站</w:t>
      </w:r>
      <w:r>
        <w:rPr>
          <w:rFonts w:hint="eastAsia" w:ascii="仿宋_GB2312" w:hAnsi="仿宋_GB2312" w:eastAsia="仿宋_GB2312" w:cs="仿宋_GB2312"/>
          <w:sz w:val="32"/>
          <w:szCs w:val="32"/>
        </w:rPr>
        <w:t xml:space="preserve">                                       2021年3月18日</w:t>
      </w:r>
    </w:p>
    <w:p>
      <w:pPr>
        <w:spacing w:line="53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asciiTheme="minorEastAsia" w:hAnsiTheme="minorEastAsia" w:eastAsiaTheme="minorEastAsia" w:cstheme="minorEastAsia"/>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创艺简标宋">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DE9FA"/>
    <w:multiLevelType w:val="singleLevel"/>
    <w:tmpl w:val="8EBDE9FA"/>
    <w:lvl w:ilvl="0" w:tentative="0">
      <w:start w:val="8"/>
      <w:numFmt w:val="chineseCounting"/>
      <w:suff w:val="space"/>
      <w:lvlText w:val="（%1）"/>
      <w:lvlJc w:val="left"/>
      <w:rPr>
        <w:rFonts w:hint="eastAsia"/>
      </w:rPr>
    </w:lvl>
  </w:abstractNum>
  <w:abstractNum w:abstractNumId="1">
    <w:nsid w:val="96E231FE"/>
    <w:multiLevelType w:val="singleLevel"/>
    <w:tmpl w:val="96E231FE"/>
    <w:lvl w:ilvl="0" w:tentative="0">
      <w:start w:val="1"/>
      <w:numFmt w:val="chineseCounting"/>
      <w:suff w:val="nothing"/>
      <w:lvlText w:val="%1、"/>
      <w:lvlJc w:val="left"/>
      <w:rPr>
        <w:rFonts w:hint="eastAsia"/>
      </w:rPr>
    </w:lvl>
  </w:abstractNum>
  <w:abstractNum w:abstractNumId="2">
    <w:nsid w:val="2F2B4511"/>
    <w:multiLevelType w:val="multilevel"/>
    <w:tmpl w:val="2F2B4511"/>
    <w:lvl w:ilvl="0" w:tentative="0">
      <w:start w:val="5"/>
      <w:numFmt w:val="chineseCounting"/>
      <w:suff w:val="nothing"/>
      <w:lvlText w:val="（%1）"/>
      <w:lvlJc w:val="left"/>
      <w:pPr>
        <w:ind w:left="0" w:firstLine="0"/>
      </w:pPr>
      <w:rPr>
        <w:rFonts w:hint="default" w:ascii="楷体" w:hAnsi="楷体"/>
        <w:b w:val="0"/>
        <w:bC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031"/>
    <w:rsid w:val="0001535F"/>
    <w:rsid w:val="00023717"/>
    <w:rsid w:val="00023D30"/>
    <w:rsid w:val="000253C7"/>
    <w:rsid w:val="0002544B"/>
    <w:rsid w:val="00031F02"/>
    <w:rsid w:val="000353A8"/>
    <w:rsid w:val="00035F92"/>
    <w:rsid w:val="00041A58"/>
    <w:rsid w:val="0004787B"/>
    <w:rsid w:val="00056342"/>
    <w:rsid w:val="000572AD"/>
    <w:rsid w:val="00062532"/>
    <w:rsid w:val="0008019D"/>
    <w:rsid w:val="00081525"/>
    <w:rsid w:val="0008551E"/>
    <w:rsid w:val="000904CA"/>
    <w:rsid w:val="00090D69"/>
    <w:rsid w:val="00091275"/>
    <w:rsid w:val="00097F0F"/>
    <w:rsid w:val="000B4009"/>
    <w:rsid w:val="000B456C"/>
    <w:rsid w:val="000B63B6"/>
    <w:rsid w:val="000C072C"/>
    <w:rsid w:val="000C0B8B"/>
    <w:rsid w:val="000D61F1"/>
    <w:rsid w:val="000E6165"/>
    <w:rsid w:val="000F0B7B"/>
    <w:rsid w:val="00101C40"/>
    <w:rsid w:val="00110A59"/>
    <w:rsid w:val="00114C6E"/>
    <w:rsid w:val="0012071C"/>
    <w:rsid w:val="00120C5B"/>
    <w:rsid w:val="00123FE0"/>
    <w:rsid w:val="0012467B"/>
    <w:rsid w:val="00126CDA"/>
    <w:rsid w:val="00133364"/>
    <w:rsid w:val="001374F6"/>
    <w:rsid w:val="00146704"/>
    <w:rsid w:val="00146901"/>
    <w:rsid w:val="0015720B"/>
    <w:rsid w:val="001603A1"/>
    <w:rsid w:val="0016482E"/>
    <w:rsid w:val="00167140"/>
    <w:rsid w:val="00172A27"/>
    <w:rsid w:val="00184B72"/>
    <w:rsid w:val="00185078"/>
    <w:rsid w:val="00191C38"/>
    <w:rsid w:val="001E0E10"/>
    <w:rsid w:val="001F59C7"/>
    <w:rsid w:val="0020015B"/>
    <w:rsid w:val="00213121"/>
    <w:rsid w:val="00237447"/>
    <w:rsid w:val="002404CE"/>
    <w:rsid w:val="00244DE1"/>
    <w:rsid w:val="00255794"/>
    <w:rsid w:val="00282803"/>
    <w:rsid w:val="00287A65"/>
    <w:rsid w:val="002928D5"/>
    <w:rsid w:val="002A340B"/>
    <w:rsid w:val="002B0E19"/>
    <w:rsid w:val="002C0ADB"/>
    <w:rsid w:val="002D6D40"/>
    <w:rsid w:val="002E0428"/>
    <w:rsid w:val="002E0760"/>
    <w:rsid w:val="002E4C28"/>
    <w:rsid w:val="002E4C33"/>
    <w:rsid w:val="002E66BE"/>
    <w:rsid w:val="002F36A4"/>
    <w:rsid w:val="00302B03"/>
    <w:rsid w:val="00302C6A"/>
    <w:rsid w:val="00313EC9"/>
    <w:rsid w:val="003155A6"/>
    <w:rsid w:val="003241E8"/>
    <w:rsid w:val="00327D1E"/>
    <w:rsid w:val="00332EFC"/>
    <w:rsid w:val="00345CB0"/>
    <w:rsid w:val="00360908"/>
    <w:rsid w:val="0036238B"/>
    <w:rsid w:val="00367B7A"/>
    <w:rsid w:val="0037329C"/>
    <w:rsid w:val="00395384"/>
    <w:rsid w:val="003B0D8F"/>
    <w:rsid w:val="003B76CD"/>
    <w:rsid w:val="003C7C05"/>
    <w:rsid w:val="003D2747"/>
    <w:rsid w:val="003E31F6"/>
    <w:rsid w:val="00400BD4"/>
    <w:rsid w:val="00405F8A"/>
    <w:rsid w:val="00410486"/>
    <w:rsid w:val="004159D1"/>
    <w:rsid w:val="004169D3"/>
    <w:rsid w:val="00443A75"/>
    <w:rsid w:val="00443ECC"/>
    <w:rsid w:val="004611D8"/>
    <w:rsid w:val="00463FFE"/>
    <w:rsid w:val="00472BF9"/>
    <w:rsid w:val="00484D92"/>
    <w:rsid w:val="004B1989"/>
    <w:rsid w:val="004D2B94"/>
    <w:rsid w:val="004D4E42"/>
    <w:rsid w:val="004E6BBE"/>
    <w:rsid w:val="004E744A"/>
    <w:rsid w:val="004F319D"/>
    <w:rsid w:val="004F3226"/>
    <w:rsid w:val="00503914"/>
    <w:rsid w:val="00511244"/>
    <w:rsid w:val="005200B2"/>
    <w:rsid w:val="005309E3"/>
    <w:rsid w:val="00536495"/>
    <w:rsid w:val="005403C5"/>
    <w:rsid w:val="005550B9"/>
    <w:rsid w:val="00556D37"/>
    <w:rsid w:val="00562166"/>
    <w:rsid w:val="00573771"/>
    <w:rsid w:val="00574BB0"/>
    <w:rsid w:val="00580653"/>
    <w:rsid w:val="00584C84"/>
    <w:rsid w:val="0059191D"/>
    <w:rsid w:val="005B0998"/>
    <w:rsid w:val="005B2F0D"/>
    <w:rsid w:val="005B331F"/>
    <w:rsid w:val="005B74F7"/>
    <w:rsid w:val="005C3627"/>
    <w:rsid w:val="005D022E"/>
    <w:rsid w:val="005D5F31"/>
    <w:rsid w:val="005D6477"/>
    <w:rsid w:val="005E4AB1"/>
    <w:rsid w:val="005E5A98"/>
    <w:rsid w:val="005F5D19"/>
    <w:rsid w:val="005F6734"/>
    <w:rsid w:val="0060194D"/>
    <w:rsid w:val="00616EC1"/>
    <w:rsid w:val="00633AAD"/>
    <w:rsid w:val="00637250"/>
    <w:rsid w:val="00646646"/>
    <w:rsid w:val="00654AD1"/>
    <w:rsid w:val="0066696C"/>
    <w:rsid w:val="00671BA4"/>
    <w:rsid w:val="006737AB"/>
    <w:rsid w:val="006851E0"/>
    <w:rsid w:val="00696AF8"/>
    <w:rsid w:val="006A0F17"/>
    <w:rsid w:val="006A47DE"/>
    <w:rsid w:val="006A52DF"/>
    <w:rsid w:val="006A5D17"/>
    <w:rsid w:val="006C295F"/>
    <w:rsid w:val="006D31F9"/>
    <w:rsid w:val="006E2A3E"/>
    <w:rsid w:val="006E4A60"/>
    <w:rsid w:val="006F2523"/>
    <w:rsid w:val="006F39BD"/>
    <w:rsid w:val="006F6F58"/>
    <w:rsid w:val="007119D3"/>
    <w:rsid w:val="00714686"/>
    <w:rsid w:val="007252F7"/>
    <w:rsid w:val="00735AA3"/>
    <w:rsid w:val="00744E91"/>
    <w:rsid w:val="0075109E"/>
    <w:rsid w:val="00751B28"/>
    <w:rsid w:val="007606E7"/>
    <w:rsid w:val="0076403E"/>
    <w:rsid w:val="00764F04"/>
    <w:rsid w:val="0076537D"/>
    <w:rsid w:val="0078334D"/>
    <w:rsid w:val="00796E2A"/>
    <w:rsid w:val="007A3138"/>
    <w:rsid w:val="007B529D"/>
    <w:rsid w:val="007B6522"/>
    <w:rsid w:val="007B6F1E"/>
    <w:rsid w:val="007B7EB2"/>
    <w:rsid w:val="007C31ED"/>
    <w:rsid w:val="007D6667"/>
    <w:rsid w:val="007D687E"/>
    <w:rsid w:val="007F0C06"/>
    <w:rsid w:val="007F13DE"/>
    <w:rsid w:val="007F2253"/>
    <w:rsid w:val="007F32FB"/>
    <w:rsid w:val="007F349D"/>
    <w:rsid w:val="00807B55"/>
    <w:rsid w:val="00810B1B"/>
    <w:rsid w:val="00814468"/>
    <w:rsid w:val="00821FE4"/>
    <w:rsid w:val="0083092C"/>
    <w:rsid w:val="00834AE6"/>
    <w:rsid w:val="00834D70"/>
    <w:rsid w:val="00837B8E"/>
    <w:rsid w:val="00854336"/>
    <w:rsid w:val="00855235"/>
    <w:rsid w:val="00861352"/>
    <w:rsid w:val="00863AA9"/>
    <w:rsid w:val="00875D19"/>
    <w:rsid w:val="0087675A"/>
    <w:rsid w:val="00883568"/>
    <w:rsid w:val="00885048"/>
    <w:rsid w:val="0089168E"/>
    <w:rsid w:val="00893CB6"/>
    <w:rsid w:val="00895341"/>
    <w:rsid w:val="008955E7"/>
    <w:rsid w:val="008A6EAB"/>
    <w:rsid w:val="008B40FD"/>
    <w:rsid w:val="008D4CCF"/>
    <w:rsid w:val="008D676E"/>
    <w:rsid w:val="008E4353"/>
    <w:rsid w:val="008F0DC5"/>
    <w:rsid w:val="008F2D16"/>
    <w:rsid w:val="008F2DF0"/>
    <w:rsid w:val="008F3468"/>
    <w:rsid w:val="00905AC0"/>
    <w:rsid w:val="00910F8F"/>
    <w:rsid w:val="009326D9"/>
    <w:rsid w:val="00942382"/>
    <w:rsid w:val="00953CF3"/>
    <w:rsid w:val="009653DA"/>
    <w:rsid w:val="0097728E"/>
    <w:rsid w:val="00977B8B"/>
    <w:rsid w:val="00985631"/>
    <w:rsid w:val="009909A7"/>
    <w:rsid w:val="0099509E"/>
    <w:rsid w:val="00995ABE"/>
    <w:rsid w:val="009A6D66"/>
    <w:rsid w:val="009B6A2D"/>
    <w:rsid w:val="009C463E"/>
    <w:rsid w:val="009D2662"/>
    <w:rsid w:val="009D579C"/>
    <w:rsid w:val="009F0D21"/>
    <w:rsid w:val="009F31AC"/>
    <w:rsid w:val="009F5C36"/>
    <w:rsid w:val="00A00D26"/>
    <w:rsid w:val="00A05962"/>
    <w:rsid w:val="00A119AB"/>
    <w:rsid w:val="00A339BD"/>
    <w:rsid w:val="00A34A26"/>
    <w:rsid w:val="00A45F93"/>
    <w:rsid w:val="00A6537D"/>
    <w:rsid w:val="00A658D2"/>
    <w:rsid w:val="00A6604A"/>
    <w:rsid w:val="00A733E4"/>
    <w:rsid w:val="00A779A8"/>
    <w:rsid w:val="00A845F8"/>
    <w:rsid w:val="00A93047"/>
    <w:rsid w:val="00AA0EF7"/>
    <w:rsid w:val="00AB6E6C"/>
    <w:rsid w:val="00AC4A30"/>
    <w:rsid w:val="00AD6FDC"/>
    <w:rsid w:val="00AD7140"/>
    <w:rsid w:val="00AE1211"/>
    <w:rsid w:val="00AE59DE"/>
    <w:rsid w:val="00AF20E0"/>
    <w:rsid w:val="00B00A40"/>
    <w:rsid w:val="00B10AB1"/>
    <w:rsid w:val="00B1573C"/>
    <w:rsid w:val="00B20ECB"/>
    <w:rsid w:val="00B22DBF"/>
    <w:rsid w:val="00B240C4"/>
    <w:rsid w:val="00B44F7B"/>
    <w:rsid w:val="00B468BD"/>
    <w:rsid w:val="00B47D3E"/>
    <w:rsid w:val="00B50D3C"/>
    <w:rsid w:val="00B64213"/>
    <w:rsid w:val="00B64713"/>
    <w:rsid w:val="00B73D2E"/>
    <w:rsid w:val="00B74C13"/>
    <w:rsid w:val="00B77349"/>
    <w:rsid w:val="00B8184D"/>
    <w:rsid w:val="00B85B8D"/>
    <w:rsid w:val="00B90AA2"/>
    <w:rsid w:val="00B945F6"/>
    <w:rsid w:val="00B94FC4"/>
    <w:rsid w:val="00BA0A72"/>
    <w:rsid w:val="00BA3D12"/>
    <w:rsid w:val="00BA5124"/>
    <w:rsid w:val="00BB482D"/>
    <w:rsid w:val="00BC4053"/>
    <w:rsid w:val="00BD2341"/>
    <w:rsid w:val="00BD3538"/>
    <w:rsid w:val="00BD432D"/>
    <w:rsid w:val="00BE5A99"/>
    <w:rsid w:val="00BF3312"/>
    <w:rsid w:val="00BF4FDC"/>
    <w:rsid w:val="00BF6FBD"/>
    <w:rsid w:val="00C014D2"/>
    <w:rsid w:val="00C224AC"/>
    <w:rsid w:val="00C301B3"/>
    <w:rsid w:val="00C317DB"/>
    <w:rsid w:val="00C33594"/>
    <w:rsid w:val="00C45B52"/>
    <w:rsid w:val="00C525ED"/>
    <w:rsid w:val="00C619AF"/>
    <w:rsid w:val="00C63BBB"/>
    <w:rsid w:val="00C65AB2"/>
    <w:rsid w:val="00C74856"/>
    <w:rsid w:val="00C90F5E"/>
    <w:rsid w:val="00C97000"/>
    <w:rsid w:val="00C97563"/>
    <w:rsid w:val="00CA01E9"/>
    <w:rsid w:val="00CA2F2F"/>
    <w:rsid w:val="00CA5A11"/>
    <w:rsid w:val="00CB23F0"/>
    <w:rsid w:val="00CC12F3"/>
    <w:rsid w:val="00CC3363"/>
    <w:rsid w:val="00CC45C9"/>
    <w:rsid w:val="00CC6446"/>
    <w:rsid w:val="00CC77FE"/>
    <w:rsid w:val="00CC7D20"/>
    <w:rsid w:val="00CD7BAA"/>
    <w:rsid w:val="00CE76E8"/>
    <w:rsid w:val="00CF0354"/>
    <w:rsid w:val="00CF17CA"/>
    <w:rsid w:val="00CF1FF4"/>
    <w:rsid w:val="00CF6131"/>
    <w:rsid w:val="00D07C65"/>
    <w:rsid w:val="00D1633C"/>
    <w:rsid w:val="00D260A5"/>
    <w:rsid w:val="00D4143B"/>
    <w:rsid w:val="00D420BE"/>
    <w:rsid w:val="00D43DFE"/>
    <w:rsid w:val="00D540BC"/>
    <w:rsid w:val="00D567FD"/>
    <w:rsid w:val="00D65B62"/>
    <w:rsid w:val="00D661FB"/>
    <w:rsid w:val="00D70D79"/>
    <w:rsid w:val="00D74F46"/>
    <w:rsid w:val="00D8084C"/>
    <w:rsid w:val="00D8113D"/>
    <w:rsid w:val="00D84A73"/>
    <w:rsid w:val="00D86C9F"/>
    <w:rsid w:val="00D96F1E"/>
    <w:rsid w:val="00DA452D"/>
    <w:rsid w:val="00DB787B"/>
    <w:rsid w:val="00DC07DE"/>
    <w:rsid w:val="00DC3C42"/>
    <w:rsid w:val="00DC463F"/>
    <w:rsid w:val="00DE17A5"/>
    <w:rsid w:val="00DE1D1B"/>
    <w:rsid w:val="00DE4843"/>
    <w:rsid w:val="00DE685C"/>
    <w:rsid w:val="00E008D7"/>
    <w:rsid w:val="00E06229"/>
    <w:rsid w:val="00E23DFB"/>
    <w:rsid w:val="00E320ED"/>
    <w:rsid w:val="00E332BE"/>
    <w:rsid w:val="00E34D77"/>
    <w:rsid w:val="00E45BCE"/>
    <w:rsid w:val="00E61A87"/>
    <w:rsid w:val="00E708F6"/>
    <w:rsid w:val="00E72D00"/>
    <w:rsid w:val="00E76A81"/>
    <w:rsid w:val="00E83E75"/>
    <w:rsid w:val="00E9176A"/>
    <w:rsid w:val="00E93674"/>
    <w:rsid w:val="00E9637A"/>
    <w:rsid w:val="00EB2DF8"/>
    <w:rsid w:val="00EC2736"/>
    <w:rsid w:val="00ED1CBF"/>
    <w:rsid w:val="00ED3BB5"/>
    <w:rsid w:val="00ED4153"/>
    <w:rsid w:val="00EE26B7"/>
    <w:rsid w:val="00EE7569"/>
    <w:rsid w:val="00EE7B75"/>
    <w:rsid w:val="00EF36E2"/>
    <w:rsid w:val="00F00088"/>
    <w:rsid w:val="00F04562"/>
    <w:rsid w:val="00F16143"/>
    <w:rsid w:val="00F25A98"/>
    <w:rsid w:val="00F30E6B"/>
    <w:rsid w:val="00F405CF"/>
    <w:rsid w:val="00F43BA7"/>
    <w:rsid w:val="00F458D2"/>
    <w:rsid w:val="00F46D12"/>
    <w:rsid w:val="00F52749"/>
    <w:rsid w:val="00F53CDF"/>
    <w:rsid w:val="00F56CFE"/>
    <w:rsid w:val="00F72358"/>
    <w:rsid w:val="00F86954"/>
    <w:rsid w:val="00F91958"/>
    <w:rsid w:val="00F91E02"/>
    <w:rsid w:val="00F943DF"/>
    <w:rsid w:val="00FC2DC3"/>
    <w:rsid w:val="00FC6117"/>
    <w:rsid w:val="00FD5ACE"/>
    <w:rsid w:val="00FE13C1"/>
    <w:rsid w:val="00FF61E1"/>
    <w:rsid w:val="00FF76C3"/>
    <w:rsid w:val="01E23167"/>
    <w:rsid w:val="025427AA"/>
    <w:rsid w:val="03404931"/>
    <w:rsid w:val="06605FFC"/>
    <w:rsid w:val="08BE4E18"/>
    <w:rsid w:val="0A5D4F46"/>
    <w:rsid w:val="0AA124B1"/>
    <w:rsid w:val="0D7647E4"/>
    <w:rsid w:val="0DC53FE7"/>
    <w:rsid w:val="0F2D0B7D"/>
    <w:rsid w:val="0F3D4B70"/>
    <w:rsid w:val="0FF15B02"/>
    <w:rsid w:val="123F00BA"/>
    <w:rsid w:val="14050B60"/>
    <w:rsid w:val="14B354E9"/>
    <w:rsid w:val="16565E61"/>
    <w:rsid w:val="1AC067BF"/>
    <w:rsid w:val="1B012D2A"/>
    <w:rsid w:val="1B383FF1"/>
    <w:rsid w:val="1CB779C6"/>
    <w:rsid w:val="1EF85280"/>
    <w:rsid w:val="1F272BDE"/>
    <w:rsid w:val="20AD22DF"/>
    <w:rsid w:val="216B1755"/>
    <w:rsid w:val="21CC6AB0"/>
    <w:rsid w:val="22B74C51"/>
    <w:rsid w:val="24347924"/>
    <w:rsid w:val="26530CFF"/>
    <w:rsid w:val="287A18F5"/>
    <w:rsid w:val="2A652460"/>
    <w:rsid w:val="2D17782D"/>
    <w:rsid w:val="2D683E1D"/>
    <w:rsid w:val="2E4718CF"/>
    <w:rsid w:val="2FCA28DF"/>
    <w:rsid w:val="31BE5565"/>
    <w:rsid w:val="36041F80"/>
    <w:rsid w:val="3A7C2B1F"/>
    <w:rsid w:val="3E6105B4"/>
    <w:rsid w:val="3EAD6155"/>
    <w:rsid w:val="3F3F7417"/>
    <w:rsid w:val="3FCE6EFC"/>
    <w:rsid w:val="42A74AEC"/>
    <w:rsid w:val="448D1279"/>
    <w:rsid w:val="45C93E74"/>
    <w:rsid w:val="45DC1F24"/>
    <w:rsid w:val="468B1C51"/>
    <w:rsid w:val="47144F18"/>
    <w:rsid w:val="47487414"/>
    <w:rsid w:val="47BC3802"/>
    <w:rsid w:val="4867102A"/>
    <w:rsid w:val="4A6574EB"/>
    <w:rsid w:val="4B1F4A2D"/>
    <w:rsid w:val="4C37497F"/>
    <w:rsid w:val="549A58F5"/>
    <w:rsid w:val="56455D92"/>
    <w:rsid w:val="56DE6927"/>
    <w:rsid w:val="5985146F"/>
    <w:rsid w:val="5A554542"/>
    <w:rsid w:val="5A9F68A6"/>
    <w:rsid w:val="5ACA38AC"/>
    <w:rsid w:val="5B94004B"/>
    <w:rsid w:val="5E3858E7"/>
    <w:rsid w:val="5F247412"/>
    <w:rsid w:val="61B8770F"/>
    <w:rsid w:val="633D028D"/>
    <w:rsid w:val="64171B74"/>
    <w:rsid w:val="67AB52B5"/>
    <w:rsid w:val="68D40F90"/>
    <w:rsid w:val="6A7C0A15"/>
    <w:rsid w:val="6E267A65"/>
    <w:rsid w:val="6EF23925"/>
    <w:rsid w:val="70903DDE"/>
    <w:rsid w:val="72DB0DB7"/>
    <w:rsid w:val="72E4129E"/>
    <w:rsid w:val="76C2394E"/>
    <w:rsid w:val="773048D1"/>
    <w:rsid w:val="775E5C25"/>
    <w:rsid w:val="77666E97"/>
    <w:rsid w:val="779505FA"/>
    <w:rsid w:val="785E5D05"/>
    <w:rsid w:val="78C36D2D"/>
    <w:rsid w:val="7A193B91"/>
    <w:rsid w:val="7DBE4B07"/>
    <w:rsid w:val="7EA93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21"/>
    <w:qFormat/>
    <w:uiPriority w:val="9"/>
    <w:pPr>
      <w:spacing w:before="480"/>
      <w:contextualSpacing/>
      <w:outlineLvl w:val="0"/>
    </w:pPr>
    <w:rPr>
      <w:rFonts w:ascii="Cambria" w:hAnsi="Cambria"/>
      <w:b/>
      <w:bCs/>
      <w:sz w:val="28"/>
      <w:szCs w:val="28"/>
    </w:rPr>
  </w:style>
  <w:style w:type="paragraph" w:styleId="3">
    <w:name w:val="heading 2"/>
    <w:basedOn w:val="1"/>
    <w:next w:val="1"/>
    <w:link w:val="22"/>
    <w:semiHidden/>
    <w:unhideWhenUsed/>
    <w:qFormat/>
    <w:uiPriority w:val="9"/>
    <w:pPr>
      <w:spacing w:before="200"/>
      <w:outlineLvl w:val="1"/>
    </w:pPr>
    <w:rPr>
      <w:rFonts w:ascii="Cambria" w:hAnsi="Cambria"/>
      <w:b/>
      <w:bCs/>
      <w:sz w:val="26"/>
      <w:szCs w:val="26"/>
    </w:rPr>
  </w:style>
  <w:style w:type="paragraph" w:styleId="4">
    <w:name w:val="heading 3"/>
    <w:basedOn w:val="1"/>
    <w:next w:val="1"/>
    <w:link w:val="23"/>
    <w:semiHidden/>
    <w:unhideWhenUsed/>
    <w:qFormat/>
    <w:uiPriority w:val="9"/>
    <w:pPr>
      <w:spacing w:before="200" w:line="271" w:lineRule="auto"/>
      <w:outlineLvl w:val="2"/>
    </w:pPr>
    <w:rPr>
      <w:rFonts w:ascii="Cambria" w:hAnsi="Cambria"/>
      <w:b/>
      <w:bCs/>
      <w:sz w:val="20"/>
      <w:szCs w:val="20"/>
    </w:rPr>
  </w:style>
  <w:style w:type="paragraph" w:styleId="5">
    <w:name w:val="heading 4"/>
    <w:basedOn w:val="1"/>
    <w:next w:val="1"/>
    <w:link w:val="24"/>
    <w:semiHidden/>
    <w:unhideWhenUsed/>
    <w:qFormat/>
    <w:uiPriority w:val="9"/>
    <w:pPr>
      <w:spacing w:before="200"/>
      <w:outlineLvl w:val="3"/>
    </w:pPr>
    <w:rPr>
      <w:rFonts w:ascii="Cambria" w:hAnsi="Cambria"/>
      <w:b/>
      <w:bCs/>
      <w:i/>
      <w:iCs/>
      <w:sz w:val="20"/>
      <w:szCs w:val="20"/>
    </w:rPr>
  </w:style>
  <w:style w:type="paragraph" w:styleId="6">
    <w:name w:val="heading 5"/>
    <w:basedOn w:val="1"/>
    <w:next w:val="1"/>
    <w:link w:val="25"/>
    <w:semiHidden/>
    <w:unhideWhenUsed/>
    <w:qFormat/>
    <w:uiPriority w:val="9"/>
    <w:pPr>
      <w:spacing w:before="200"/>
      <w:outlineLvl w:val="4"/>
    </w:pPr>
    <w:rPr>
      <w:rFonts w:ascii="Cambria" w:hAnsi="Cambria"/>
      <w:b/>
      <w:bCs/>
      <w:color w:val="7F7F7F"/>
      <w:sz w:val="20"/>
      <w:szCs w:val="20"/>
    </w:rPr>
  </w:style>
  <w:style w:type="paragraph" w:styleId="7">
    <w:name w:val="heading 6"/>
    <w:basedOn w:val="1"/>
    <w:next w:val="1"/>
    <w:link w:val="26"/>
    <w:semiHidden/>
    <w:unhideWhenUsed/>
    <w:qFormat/>
    <w:uiPriority w:val="9"/>
    <w:pPr>
      <w:spacing w:line="271" w:lineRule="auto"/>
      <w:outlineLvl w:val="5"/>
    </w:pPr>
    <w:rPr>
      <w:rFonts w:ascii="Cambria" w:hAnsi="Cambria"/>
      <w:b/>
      <w:bCs/>
      <w:i/>
      <w:iCs/>
      <w:color w:val="7F7F7F"/>
      <w:sz w:val="20"/>
      <w:szCs w:val="20"/>
    </w:rPr>
  </w:style>
  <w:style w:type="paragraph" w:styleId="8">
    <w:name w:val="heading 7"/>
    <w:basedOn w:val="1"/>
    <w:next w:val="1"/>
    <w:link w:val="27"/>
    <w:semiHidden/>
    <w:unhideWhenUsed/>
    <w:qFormat/>
    <w:uiPriority w:val="9"/>
    <w:pPr>
      <w:outlineLvl w:val="6"/>
    </w:pPr>
    <w:rPr>
      <w:rFonts w:ascii="Cambria" w:hAnsi="Cambria"/>
      <w:i/>
      <w:iCs/>
      <w:sz w:val="20"/>
      <w:szCs w:val="20"/>
    </w:rPr>
  </w:style>
  <w:style w:type="paragraph" w:styleId="9">
    <w:name w:val="heading 8"/>
    <w:basedOn w:val="1"/>
    <w:next w:val="1"/>
    <w:link w:val="28"/>
    <w:semiHidden/>
    <w:unhideWhenUsed/>
    <w:qFormat/>
    <w:uiPriority w:val="9"/>
    <w:pPr>
      <w:outlineLvl w:val="7"/>
    </w:pPr>
    <w:rPr>
      <w:rFonts w:ascii="Cambria" w:hAnsi="Cambria"/>
      <w:sz w:val="20"/>
      <w:szCs w:val="20"/>
    </w:rPr>
  </w:style>
  <w:style w:type="paragraph" w:styleId="10">
    <w:name w:val="heading 9"/>
    <w:basedOn w:val="1"/>
    <w:next w:val="1"/>
    <w:link w:val="29"/>
    <w:semiHidden/>
    <w:unhideWhenUsed/>
    <w:qFormat/>
    <w:uiPriority w:val="9"/>
    <w:pPr>
      <w:outlineLvl w:val="8"/>
    </w:pPr>
    <w:rPr>
      <w:rFonts w:ascii="Cambria" w:hAnsi="Cambria"/>
      <w:i/>
      <w:iCs/>
      <w:spacing w:val="5"/>
      <w:sz w:val="2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0"/>
    <w:pPr>
      <w:spacing w:after="120"/>
    </w:pPr>
  </w:style>
  <w:style w:type="paragraph" w:styleId="12">
    <w:name w:val="footer"/>
    <w:basedOn w:val="1"/>
    <w:link w:val="47"/>
    <w:semiHidden/>
    <w:unhideWhenUsed/>
    <w:uiPriority w:val="99"/>
    <w:pPr>
      <w:tabs>
        <w:tab w:val="center" w:pos="4153"/>
        <w:tab w:val="right" w:pos="8306"/>
      </w:tabs>
      <w:snapToGrid w:val="0"/>
      <w:jc w:val="left"/>
    </w:pPr>
    <w:rPr>
      <w:sz w:val="18"/>
      <w:szCs w:val="18"/>
    </w:rPr>
  </w:style>
  <w:style w:type="paragraph" w:styleId="13">
    <w:name w:val="header"/>
    <w:basedOn w:val="1"/>
    <w:link w:val="46"/>
    <w:semiHidden/>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qFormat/>
    <w:uiPriority w:val="11"/>
    <w:pPr>
      <w:spacing w:after="600"/>
    </w:pPr>
    <w:rPr>
      <w:rFonts w:ascii="Cambria" w:hAnsi="Cambria"/>
      <w:i/>
      <w:iCs/>
      <w:spacing w:val="13"/>
      <w:sz w:val="24"/>
      <w:szCs w:val="24"/>
    </w:rPr>
  </w:style>
  <w:style w:type="paragraph" w:styleId="15">
    <w:name w:val="toc 2"/>
    <w:basedOn w:val="1"/>
    <w:next w:val="1"/>
    <w:unhideWhenUsed/>
    <w:qFormat/>
    <w:uiPriority w:val="39"/>
    <w:pPr>
      <w:ind w:left="420" w:leftChars="200"/>
    </w:pPr>
  </w:style>
  <w:style w:type="paragraph" w:styleId="16">
    <w:name w:val="Title"/>
    <w:basedOn w:val="1"/>
    <w:next w:val="1"/>
    <w:link w:val="30"/>
    <w:qFormat/>
    <w:uiPriority w:val="10"/>
    <w:pPr>
      <w:pBdr>
        <w:bottom w:val="single" w:color="auto" w:sz="4" w:space="1"/>
      </w:pBdr>
      <w:contextualSpacing/>
    </w:pPr>
    <w:rPr>
      <w:rFonts w:ascii="Cambria" w:hAnsi="Cambria"/>
      <w:spacing w:val="5"/>
      <w:sz w:val="52"/>
      <w:szCs w:val="52"/>
    </w:rPr>
  </w:style>
  <w:style w:type="character" w:styleId="19">
    <w:name w:val="Strong"/>
    <w:qFormat/>
    <w:uiPriority w:val="22"/>
    <w:rPr>
      <w:b/>
      <w:bCs/>
    </w:rPr>
  </w:style>
  <w:style w:type="character" w:styleId="20">
    <w:name w:val="Emphasis"/>
    <w:qFormat/>
    <w:uiPriority w:val="20"/>
    <w:rPr>
      <w:b/>
      <w:bCs/>
      <w:i/>
      <w:iCs/>
      <w:spacing w:val="10"/>
      <w:shd w:val="clear" w:color="auto" w:fill="auto"/>
    </w:rPr>
  </w:style>
  <w:style w:type="character" w:customStyle="1" w:styleId="21">
    <w:name w:val="标题 1 Char"/>
    <w:basedOn w:val="18"/>
    <w:link w:val="2"/>
    <w:qFormat/>
    <w:uiPriority w:val="9"/>
    <w:rPr>
      <w:rFonts w:ascii="Cambria" w:hAnsi="Cambria" w:eastAsia="宋体" w:cs="Times New Roman"/>
      <w:b/>
      <w:bCs/>
      <w:sz w:val="28"/>
      <w:szCs w:val="28"/>
    </w:rPr>
  </w:style>
  <w:style w:type="character" w:customStyle="1" w:styleId="22">
    <w:name w:val="标题 2 Char"/>
    <w:basedOn w:val="18"/>
    <w:link w:val="3"/>
    <w:semiHidden/>
    <w:qFormat/>
    <w:uiPriority w:val="9"/>
    <w:rPr>
      <w:rFonts w:ascii="Cambria" w:hAnsi="Cambria" w:eastAsia="宋体" w:cs="Times New Roman"/>
      <w:b/>
      <w:bCs/>
      <w:sz w:val="26"/>
      <w:szCs w:val="26"/>
    </w:rPr>
  </w:style>
  <w:style w:type="character" w:customStyle="1" w:styleId="23">
    <w:name w:val="标题 3 Char"/>
    <w:basedOn w:val="18"/>
    <w:link w:val="4"/>
    <w:qFormat/>
    <w:uiPriority w:val="9"/>
    <w:rPr>
      <w:rFonts w:ascii="Cambria" w:hAnsi="Cambria" w:eastAsia="宋体" w:cs="Times New Roman"/>
      <w:b/>
      <w:bCs/>
    </w:rPr>
  </w:style>
  <w:style w:type="character" w:customStyle="1" w:styleId="24">
    <w:name w:val="标题 4 Char"/>
    <w:basedOn w:val="18"/>
    <w:link w:val="5"/>
    <w:semiHidden/>
    <w:qFormat/>
    <w:uiPriority w:val="9"/>
    <w:rPr>
      <w:rFonts w:ascii="Cambria" w:hAnsi="Cambria" w:eastAsia="宋体" w:cs="Times New Roman"/>
      <w:b/>
      <w:bCs/>
      <w:i/>
      <w:iCs/>
    </w:rPr>
  </w:style>
  <w:style w:type="character" w:customStyle="1" w:styleId="25">
    <w:name w:val="标题 5 Char"/>
    <w:basedOn w:val="18"/>
    <w:link w:val="6"/>
    <w:semiHidden/>
    <w:qFormat/>
    <w:uiPriority w:val="9"/>
    <w:rPr>
      <w:rFonts w:ascii="Cambria" w:hAnsi="Cambria" w:eastAsia="宋体" w:cs="Times New Roman"/>
      <w:b/>
      <w:bCs/>
      <w:color w:val="7F7F7F"/>
    </w:rPr>
  </w:style>
  <w:style w:type="character" w:customStyle="1" w:styleId="26">
    <w:name w:val="标题 6 Char"/>
    <w:basedOn w:val="18"/>
    <w:link w:val="7"/>
    <w:semiHidden/>
    <w:qFormat/>
    <w:uiPriority w:val="9"/>
    <w:rPr>
      <w:rFonts w:ascii="Cambria" w:hAnsi="Cambria" w:eastAsia="宋体" w:cs="Times New Roman"/>
      <w:b/>
      <w:bCs/>
      <w:i/>
      <w:iCs/>
      <w:color w:val="7F7F7F"/>
    </w:rPr>
  </w:style>
  <w:style w:type="character" w:customStyle="1" w:styleId="27">
    <w:name w:val="标题 7 Char"/>
    <w:basedOn w:val="18"/>
    <w:link w:val="8"/>
    <w:semiHidden/>
    <w:qFormat/>
    <w:uiPriority w:val="9"/>
    <w:rPr>
      <w:rFonts w:ascii="Cambria" w:hAnsi="Cambria" w:eastAsia="宋体" w:cs="Times New Roman"/>
      <w:i/>
      <w:iCs/>
    </w:rPr>
  </w:style>
  <w:style w:type="character" w:customStyle="1" w:styleId="28">
    <w:name w:val="标题 8 Char"/>
    <w:basedOn w:val="18"/>
    <w:link w:val="9"/>
    <w:semiHidden/>
    <w:qFormat/>
    <w:uiPriority w:val="9"/>
    <w:rPr>
      <w:rFonts w:ascii="Cambria" w:hAnsi="Cambria" w:eastAsia="宋体" w:cs="Times New Roman"/>
      <w:sz w:val="20"/>
      <w:szCs w:val="20"/>
    </w:rPr>
  </w:style>
  <w:style w:type="character" w:customStyle="1" w:styleId="29">
    <w:name w:val="标题 9 Char"/>
    <w:basedOn w:val="18"/>
    <w:link w:val="10"/>
    <w:semiHidden/>
    <w:qFormat/>
    <w:uiPriority w:val="9"/>
    <w:rPr>
      <w:rFonts w:ascii="Cambria" w:hAnsi="Cambria" w:eastAsia="宋体" w:cs="Times New Roman"/>
      <w:i/>
      <w:iCs/>
      <w:spacing w:val="5"/>
      <w:sz w:val="20"/>
      <w:szCs w:val="20"/>
    </w:rPr>
  </w:style>
  <w:style w:type="character" w:customStyle="1" w:styleId="30">
    <w:name w:val="标题 Char"/>
    <w:basedOn w:val="18"/>
    <w:link w:val="16"/>
    <w:qFormat/>
    <w:uiPriority w:val="10"/>
    <w:rPr>
      <w:rFonts w:ascii="Cambria" w:hAnsi="Cambria" w:eastAsia="宋体" w:cs="Times New Roman"/>
      <w:spacing w:val="5"/>
      <w:sz w:val="52"/>
      <w:szCs w:val="52"/>
    </w:rPr>
  </w:style>
  <w:style w:type="character" w:customStyle="1" w:styleId="31">
    <w:name w:val="副标题 Char"/>
    <w:basedOn w:val="18"/>
    <w:link w:val="14"/>
    <w:qFormat/>
    <w:uiPriority w:val="11"/>
    <w:rPr>
      <w:rFonts w:ascii="Cambria" w:hAnsi="Cambria" w:eastAsia="宋体" w:cs="Times New Roman"/>
      <w:i/>
      <w:iCs/>
      <w:spacing w:val="13"/>
      <w:sz w:val="24"/>
      <w:szCs w:val="24"/>
    </w:rPr>
  </w:style>
  <w:style w:type="paragraph" w:styleId="32">
    <w:name w:val="No Spacing"/>
    <w:basedOn w:val="1"/>
    <w:qFormat/>
    <w:uiPriority w:val="1"/>
  </w:style>
  <w:style w:type="paragraph" w:styleId="33">
    <w:name w:val="List Paragraph"/>
    <w:basedOn w:val="1"/>
    <w:qFormat/>
    <w:uiPriority w:val="34"/>
    <w:pPr>
      <w:ind w:left="720"/>
      <w:contextualSpacing/>
    </w:pPr>
  </w:style>
  <w:style w:type="paragraph" w:styleId="34">
    <w:name w:val="Quote"/>
    <w:basedOn w:val="1"/>
    <w:next w:val="1"/>
    <w:link w:val="35"/>
    <w:qFormat/>
    <w:uiPriority w:val="29"/>
    <w:pPr>
      <w:spacing w:before="200"/>
      <w:ind w:left="360" w:right="360"/>
    </w:pPr>
    <w:rPr>
      <w:i/>
      <w:iCs/>
      <w:sz w:val="20"/>
      <w:szCs w:val="20"/>
    </w:rPr>
  </w:style>
  <w:style w:type="character" w:customStyle="1" w:styleId="35">
    <w:name w:val="引用 Char"/>
    <w:basedOn w:val="18"/>
    <w:link w:val="34"/>
    <w:qFormat/>
    <w:uiPriority w:val="29"/>
    <w:rPr>
      <w:i/>
      <w:iCs/>
    </w:rPr>
  </w:style>
  <w:style w:type="paragraph" w:styleId="36">
    <w:name w:val="Intense Quote"/>
    <w:basedOn w:val="1"/>
    <w:next w:val="1"/>
    <w:link w:val="37"/>
    <w:qFormat/>
    <w:uiPriority w:val="30"/>
    <w:pPr>
      <w:pBdr>
        <w:bottom w:val="single" w:color="auto" w:sz="4" w:space="1"/>
      </w:pBdr>
      <w:spacing w:before="200" w:after="280"/>
      <w:ind w:left="1008" w:right="1152"/>
    </w:pPr>
    <w:rPr>
      <w:b/>
      <w:bCs/>
      <w:i/>
      <w:iCs/>
      <w:sz w:val="20"/>
      <w:szCs w:val="20"/>
    </w:rPr>
  </w:style>
  <w:style w:type="character" w:customStyle="1" w:styleId="37">
    <w:name w:val="明显引用 Char"/>
    <w:basedOn w:val="18"/>
    <w:link w:val="36"/>
    <w:qFormat/>
    <w:uiPriority w:val="30"/>
    <w:rPr>
      <w:b/>
      <w:bCs/>
      <w:i/>
      <w:iCs/>
    </w:rPr>
  </w:style>
  <w:style w:type="character" w:customStyle="1" w:styleId="38">
    <w:name w:val="不明显强调1"/>
    <w:qFormat/>
    <w:uiPriority w:val="19"/>
    <w:rPr>
      <w:i/>
      <w:iCs/>
    </w:rPr>
  </w:style>
  <w:style w:type="character" w:customStyle="1" w:styleId="39">
    <w:name w:val="明显强调1"/>
    <w:qFormat/>
    <w:uiPriority w:val="21"/>
    <w:rPr>
      <w:b/>
      <w:bCs/>
    </w:rPr>
  </w:style>
  <w:style w:type="character" w:customStyle="1" w:styleId="40">
    <w:name w:val="不明显参考1"/>
    <w:qFormat/>
    <w:uiPriority w:val="31"/>
    <w:rPr>
      <w:smallCaps/>
    </w:rPr>
  </w:style>
  <w:style w:type="character" w:customStyle="1" w:styleId="41">
    <w:name w:val="明显参考1"/>
    <w:qFormat/>
    <w:uiPriority w:val="32"/>
    <w:rPr>
      <w:smallCaps/>
      <w:spacing w:val="5"/>
      <w:u w:val="single"/>
    </w:rPr>
  </w:style>
  <w:style w:type="character" w:customStyle="1" w:styleId="42">
    <w:name w:val="书籍标题1"/>
    <w:qFormat/>
    <w:uiPriority w:val="33"/>
    <w:rPr>
      <w:i/>
      <w:iCs/>
      <w:smallCaps/>
      <w:spacing w:val="5"/>
    </w:rPr>
  </w:style>
  <w:style w:type="paragraph" w:customStyle="1" w:styleId="43">
    <w:name w:val="TOC 标题1"/>
    <w:basedOn w:val="2"/>
    <w:next w:val="1"/>
    <w:semiHidden/>
    <w:unhideWhenUsed/>
    <w:qFormat/>
    <w:uiPriority w:val="39"/>
    <w:pPr>
      <w:outlineLvl w:val="9"/>
    </w:pPr>
    <w:rPr>
      <w:lang w:eastAsia="en-US" w:bidi="en-US"/>
    </w:rPr>
  </w:style>
  <w:style w:type="paragraph" w:customStyle="1" w:styleId="44">
    <w:name w:val="p0"/>
    <w:basedOn w:val="1"/>
    <w:qFormat/>
    <w:uiPriority w:val="0"/>
    <w:pPr>
      <w:widowControl/>
    </w:pPr>
    <w:rPr>
      <w:rFonts w:ascii="Times New Roman" w:hAnsi="Times New Roman"/>
      <w:kern w:val="0"/>
    </w:rPr>
  </w:style>
  <w:style w:type="character" w:customStyle="1" w:styleId="45">
    <w:name w:val="15"/>
    <w:basedOn w:val="18"/>
    <w:qFormat/>
    <w:uiPriority w:val="0"/>
    <w:rPr>
      <w:rFonts w:hint="eastAsia" w:ascii="宋体" w:hAnsi="宋体" w:eastAsia="宋体" w:cs="Courier New"/>
      <w:b/>
      <w:bCs/>
      <w:sz w:val="32"/>
      <w:szCs w:val="32"/>
    </w:rPr>
  </w:style>
  <w:style w:type="character" w:customStyle="1" w:styleId="46">
    <w:name w:val="页眉 Char"/>
    <w:basedOn w:val="18"/>
    <w:link w:val="13"/>
    <w:semiHidden/>
    <w:uiPriority w:val="99"/>
    <w:rPr>
      <w:rFonts w:ascii="Calibri" w:hAnsi="Calibri" w:eastAsia="宋体" w:cs="Times New Roman"/>
      <w:kern w:val="2"/>
      <w:sz w:val="18"/>
      <w:szCs w:val="18"/>
    </w:rPr>
  </w:style>
  <w:style w:type="character" w:customStyle="1" w:styleId="47">
    <w:name w:val="页脚 Char"/>
    <w:basedOn w:val="18"/>
    <w:link w:val="1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PRISMA_Al-Huda Corp.</Company>
  <Pages>8</Pages>
  <Words>658</Words>
  <Characters>3752</Characters>
  <Lines>31</Lines>
  <Paragraphs>8</Paragraphs>
  <TotalTime>0</TotalTime>
  <ScaleCrop>false</ScaleCrop>
  <LinksUpToDate>false</LinksUpToDate>
  <CharactersWithSpaces>4402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2021-03-17T06:45:00Z</dcterms:created>
  <dc:creator>Hamim Sazadah</dc:creator>
  <cp:lastModifiedBy>Administrator</cp:lastModifiedBy>
  <dcterms:modified xsi:type="dcterms:W3CDTF">2022-08-24T01:35:33Z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